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14C" w:rsidRPr="006C614C" w:rsidRDefault="006C614C" w:rsidP="006C614C">
      <w:pPr>
        <w:suppressAutoHyphens/>
        <w:jc w:val="both"/>
        <w:rPr>
          <w:rFonts w:ascii="Arial Narrow" w:eastAsia="Times New Roman" w:hAnsi="Arial Narrow" w:cstheme="minorHAnsi"/>
          <w:sz w:val="34"/>
          <w:szCs w:val="20"/>
          <w:lang w:eastAsia="fr-FR"/>
        </w:rPr>
      </w:pPr>
    </w:p>
    <w:p w:rsidR="006C614C" w:rsidRPr="006C614C" w:rsidRDefault="006C614C" w:rsidP="006C614C">
      <w:pPr>
        <w:suppressAutoHyphens/>
        <w:jc w:val="both"/>
        <w:rPr>
          <w:rFonts w:ascii="Arial Narrow" w:eastAsia="Times New Roman" w:hAnsi="Arial Narrow" w:cstheme="minorHAnsi"/>
          <w:sz w:val="34"/>
          <w:szCs w:val="20"/>
          <w:lang w:eastAsia="fr-FR"/>
        </w:rPr>
      </w:pPr>
    </w:p>
    <w:p w:rsidR="006C614C" w:rsidRPr="006C614C" w:rsidRDefault="006C614C" w:rsidP="006C614C">
      <w:pPr>
        <w:suppressAutoHyphens/>
        <w:jc w:val="both"/>
        <w:rPr>
          <w:rFonts w:ascii="Arial Narrow" w:eastAsia="Times New Roman" w:hAnsi="Arial Narrow" w:cstheme="minorHAnsi"/>
          <w:sz w:val="34"/>
          <w:szCs w:val="20"/>
          <w:lang w:eastAsia="fr-FR"/>
        </w:rPr>
      </w:pPr>
    </w:p>
    <w:p w:rsidR="006C614C" w:rsidRPr="006C614C" w:rsidRDefault="006C614C" w:rsidP="006C614C">
      <w:pPr>
        <w:suppressAutoHyphens/>
        <w:ind w:right="-142"/>
        <w:jc w:val="center"/>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Pr="006C614C" w:rsidRDefault="006C614C" w:rsidP="006C614C">
      <w:pPr>
        <w:suppressAutoHyphens/>
        <w:jc w:val="both"/>
        <w:rPr>
          <w:rFonts w:ascii="Arial Narrow" w:eastAsia="Times New Roman" w:hAnsi="Arial Narrow" w:cstheme="minorHAnsi"/>
          <w:sz w:val="20"/>
          <w:szCs w:val="20"/>
          <w:lang w:eastAsia="fr-FR"/>
        </w:rPr>
      </w:pPr>
    </w:p>
    <w:p w:rsidR="006C614C" w:rsidRP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both"/>
        <w:rPr>
          <w:rFonts w:ascii="Arial Narrow" w:eastAsia="Times New Roman" w:hAnsi="Arial Narrow" w:cstheme="minorHAnsi"/>
          <w:b/>
          <w:bCs/>
          <w:sz w:val="32"/>
          <w:szCs w:val="20"/>
          <w:lang w:eastAsia="fr-FR"/>
        </w:rPr>
      </w:pPr>
    </w:p>
    <w:p w:rsid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center"/>
        <w:rPr>
          <w:rFonts w:ascii="Arial Narrow" w:eastAsia="Times New Roman" w:hAnsi="Arial Narrow" w:cstheme="minorHAnsi"/>
          <w:b/>
          <w:bCs/>
          <w:sz w:val="40"/>
          <w:szCs w:val="40"/>
          <w:lang w:eastAsia="fr-FR"/>
        </w:rPr>
      </w:pPr>
      <w:r>
        <w:rPr>
          <w:rFonts w:ascii="Arial Narrow" w:eastAsia="Times New Roman" w:hAnsi="Arial Narrow" w:cstheme="minorHAnsi"/>
          <w:b/>
          <w:bCs/>
          <w:sz w:val="40"/>
          <w:szCs w:val="40"/>
          <w:lang w:eastAsia="fr-FR"/>
        </w:rPr>
        <w:t xml:space="preserve">ECHANTILLONS A TRADUIRE PAR LES CANDIDATS </w:t>
      </w:r>
    </w:p>
    <w:p w:rsid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center"/>
        <w:rPr>
          <w:rFonts w:ascii="Arial Narrow" w:eastAsia="Times New Roman" w:hAnsi="Arial Narrow" w:cstheme="minorHAnsi"/>
          <w:b/>
          <w:bCs/>
          <w:sz w:val="40"/>
          <w:szCs w:val="40"/>
          <w:lang w:eastAsia="fr-FR"/>
        </w:rPr>
      </w:pPr>
    </w:p>
    <w:p w:rsidR="006C614C" w:rsidRP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center"/>
        <w:rPr>
          <w:rFonts w:ascii="Arial Narrow" w:eastAsia="Times New Roman" w:hAnsi="Arial Narrow" w:cstheme="minorHAnsi"/>
          <w:b/>
          <w:bCs/>
          <w:szCs w:val="28"/>
          <w:lang w:eastAsia="fr-FR"/>
        </w:rPr>
      </w:pPr>
      <w:r w:rsidRPr="006C614C">
        <w:rPr>
          <w:rFonts w:ascii="Arial Narrow" w:eastAsia="Times New Roman" w:hAnsi="Arial Narrow" w:cstheme="minorHAnsi"/>
          <w:b/>
          <w:bCs/>
          <w:sz w:val="32"/>
          <w:szCs w:val="40"/>
          <w:lang w:eastAsia="fr-FR"/>
        </w:rPr>
        <w:t>Lot 2 :</w:t>
      </w:r>
      <w:r w:rsidRPr="006C614C">
        <w:rPr>
          <w:rFonts w:ascii="Arial Narrow" w:eastAsia="Times New Roman" w:hAnsi="Arial Narrow" w:cs="Arial"/>
          <w:sz w:val="20"/>
          <w:szCs w:val="20"/>
          <w:lang w:eastAsia="fr-FR"/>
        </w:rPr>
        <w:t xml:space="preserve"> </w:t>
      </w:r>
      <w:r w:rsidRPr="006C614C">
        <w:rPr>
          <w:rFonts w:ascii="Arial Narrow" w:eastAsia="Times New Roman" w:hAnsi="Arial Narrow" w:cstheme="minorHAnsi"/>
          <w:bCs/>
          <w:sz w:val="32"/>
          <w:szCs w:val="40"/>
          <w:lang w:eastAsia="fr-FR"/>
        </w:rPr>
        <w:t>Prestations de traduction et contrôle (relecture et corrections) de textes à caractère juridique par des traducteurs assermentés depuis ou vers l’anglais.</w:t>
      </w:r>
    </w:p>
    <w:p w:rsidR="006C614C" w:rsidRP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both"/>
        <w:rPr>
          <w:rFonts w:ascii="Arial Narrow" w:eastAsia="Times New Roman" w:hAnsi="Arial Narrow" w:cstheme="minorHAnsi"/>
          <w:b/>
          <w:bCs/>
          <w:sz w:val="28"/>
          <w:szCs w:val="28"/>
          <w:lang w:eastAsia="fr-FR"/>
        </w:rPr>
      </w:pPr>
    </w:p>
    <w:p w:rsidR="006C614C" w:rsidRPr="006C614C" w:rsidRDefault="006C614C" w:rsidP="006C614C">
      <w:pPr>
        <w:widowControl w:val="0"/>
        <w:suppressAutoHyphens/>
        <w:ind w:left="720" w:right="282"/>
        <w:jc w:val="both"/>
        <w:rPr>
          <w:rFonts w:ascii="Arial Narrow" w:eastAsia="Times New Roman" w:hAnsi="Arial Narrow" w:cs="Arial"/>
          <w:sz w:val="20"/>
          <w:szCs w:val="20"/>
          <w:lang w:eastAsia="fr-FR"/>
        </w:rPr>
      </w:pPr>
    </w:p>
    <w:p w:rsidR="006C614C" w:rsidRPr="006C614C" w:rsidRDefault="006C614C" w:rsidP="006C614C">
      <w:pPr>
        <w:widowControl w:val="0"/>
        <w:suppressAutoHyphens/>
        <w:ind w:left="720" w:right="282"/>
        <w:jc w:val="both"/>
        <w:rPr>
          <w:rFonts w:ascii="Arial Narrow" w:eastAsia="Times New Roman" w:hAnsi="Arial Narrow" w:cs="Arial"/>
          <w:sz w:val="20"/>
          <w:szCs w:val="20"/>
          <w:lang w:eastAsia="fr-FR"/>
        </w:rPr>
      </w:pPr>
    </w:p>
    <w:p w:rsidR="006C614C" w:rsidRPr="006C614C" w:rsidRDefault="006C614C" w:rsidP="006C614C">
      <w:pPr>
        <w:suppressAutoHyphens/>
        <w:jc w:val="center"/>
        <w:rPr>
          <w:rFonts w:ascii="Arial Narrow" w:eastAsia="Times New Roman" w:hAnsi="Arial Narrow" w:cs="Times New Roman"/>
          <w:sz w:val="36"/>
          <w:szCs w:val="28"/>
          <w:lang w:eastAsia="fr-FR"/>
        </w:rPr>
      </w:pPr>
      <w:r w:rsidRPr="006C614C">
        <w:rPr>
          <w:rFonts w:ascii="Arial Narrow" w:eastAsia="Times New Roman" w:hAnsi="Arial Narrow" w:cs="Times New Roman"/>
          <w:sz w:val="36"/>
          <w:szCs w:val="28"/>
          <w:lang w:eastAsia="fr-FR"/>
        </w:rPr>
        <w:t>Accord cadre de prestations de traduction en différentes langues pour le compte de l’EPMO-VGE</w:t>
      </w:r>
    </w:p>
    <w:p w:rsidR="006C614C" w:rsidRPr="006C614C" w:rsidRDefault="006C614C" w:rsidP="006C614C">
      <w:pPr>
        <w:widowControl w:val="0"/>
        <w:suppressAutoHyphens/>
        <w:ind w:left="720" w:right="282"/>
        <w:jc w:val="both"/>
        <w:rPr>
          <w:rFonts w:ascii="Arial Narrow" w:eastAsia="Times New Roman" w:hAnsi="Arial Narrow" w:cs="Arial"/>
          <w:sz w:val="20"/>
          <w:szCs w:val="20"/>
          <w:lang w:eastAsia="fr-FR"/>
        </w:rPr>
      </w:pPr>
    </w:p>
    <w:p w:rsidR="006C614C" w:rsidRPr="006C614C" w:rsidRDefault="006C614C" w:rsidP="006C614C">
      <w:pPr>
        <w:widowControl w:val="0"/>
        <w:suppressAutoHyphens/>
        <w:ind w:left="720" w:right="282"/>
        <w:jc w:val="both"/>
        <w:rPr>
          <w:rFonts w:ascii="Arial Narrow" w:eastAsia="Times New Roman" w:hAnsi="Arial Narrow" w:cs="Arial"/>
          <w:sz w:val="20"/>
          <w:szCs w:val="20"/>
          <w:lang w:eastAsia="fr-FR"/>
        </w:rPr>
      </w:pPr>
    </w:p>
    <w:p w:rsidR="006C614C" w:rsidRPr="006C614C" w:rsidRDefault="006C614C" w:rsidP="006C614C">
      <w:pPr>
        <w:widowControl w:val="0"/>
        <w:suppressAutoHyphens/>
        <w:ind w:right="282"/>
        <w:jc w:val="both"/>
        <w:rPr>
          <w:rFonts w:ascii="Arial Narrow" w:eastAsia="Times New Roman" w:hAnsi="Arial Narrow" w:cs="Arial"/>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Pr="006C614C" w:rsidRDefault="006C614C" w:rsidP="006C614C">
      <w:pPr>
        <w:jc w:val="center"/>
        <w:rPr>
          <w:rFonts w:ascii="Arial Narrow" w:hAnsi="Arial Narrow"/>
          <w:b/>
          <w:bCs/>
          <w:sz w:val="28"/>
          <w:u w:val="single"/>
          <w:lang w:val="en-US"/>
        </w:rPr>
      </w:pPr>
      <w:r w:rsidRPr="006C614C">
        <w:rPr>
          <w:rFonts w:ascii="Arial Narrow" w:hAnsi="Arial Narrow"/>
          <w:b/>
          <w:bCs/>
          <w:sz w:val="28"/>
          <w:u w:val="single"/>
          <w:lang w:val="en-US"/>
        </w:rPr>
        <w:lastRenderedPageBreak/>
        <w:t>TRADUCTION DE L’ANGLAIS VERS LE FRANCAIS</w:t>
      </w:r>
    </w:p>
    <w:p w:rsidR="006C614C" w:rsidRPr="006C614C" w:rsidRDefault="006C614C" w:rsidP="006C614C">
      <w:pPr>
        <w:pStyle w:val="Paragraphedeliste"/>
        <w:jc w:val="both"/>
        <w:rPr>
          <w:rFonts w:ascii="Garamond" w:hAnsi="Garamond"/>
          <w:b/>
          <w:bCs/>
          <w:sz w:val="24"/>
          <w:u w:val="single"/>
          <w:lang w:val="en-US"/>
        </w:rPr>
      </w:pPr>
    </w:p>
    <w:p w:rsidR="00711D12" w:rsidRPr="006C614C" w:rsidRDefault="00711D12" w:rsidP="006C614C">
      <w:pPr>
        <w:pStyle w:val="Paragraphedeliste"/>
        <w:numPr>
          <w:ilvl w:val="0"/>
          <w:numId w:val="5"/>
        </w:numPr>
        <w:jc w:val="both"/>
        <w:rPr>
          <w:rFonts w:ascii="Arial Narrow" w:hAnsi="Arial Narrow"/>
          <w:b/>
          <w:bCs/>
          <w:color w:val="000000" w:themeColor="text1"/>
          <w:sz w:val="24"/>
          <w:u w:val="single"/>
          <w:lang w:val="en-US"/>
        </w:rPr>
      </w:pPr>
      <w:proofErr w:type="spellStart"/>
      <w:r w:rsidRPr="006C614C">
        <w:rPr>
          <w:rFonts w:ascii="Arial Narrow" w:hAnsi="Arial Narrow"/>
          <w:b/>
          <w:color w:val="000000" w:themeColor="text1"/>
          <w:u w:val="single"/>
          <w:lang w:val="en-US" w:eastAsia="fr-FR"/>
        </w:rPr>
        <w:t>Extrait</w:t>
      </w:r>
      <w:proofErr w:type="spellEnd"/>
      <w:r w:rsidRPr="006C614C">
        <w:rPr>
          <w:rFonts w:ascii="Arial Narrow" w:hAnsi="Arial Narrow"/>
          <w:b/>
          <w:color w:val="000000" w:themeColor="text1"/>
          <w:u w:val="single"/>
          <w:lang w:val="en-US" w:eastAsia="fr-FR"/>
        </w:rPr>
        <w:t xml:space="preserve"> </w:t>
      </w:r>
      <w:r w:rsidR="006C614C">
        <w:rPr>
          <w:rFonts w:ascii="Arial Narrow" w:hAnsi="Arial Narrow"/>
          <w:b/>
          <w:color w:val="000000" w:themeColor="text1"/>
          <w:u w:val="single"/>
          <w:lang w:val="en-US" w:eastAsia="fr-FR"/>
        </w:rPr>
        <w:t xml:space="preserve">de </w:t>
      </w:r>
      <w:proofErr w:type="spellStart"/>
      <w:r w:rsidRPr="006C614C">
        <w:rPr>
          <w:rFonts w:ascii="Arial Narrow" w:hAnsi="Arial Narrow"/>
          <w:b/>
          <w:color w:val="000000" w:themeColor="text1"/>
          <w:u w:val="single"/>
          <w:lang w:val="en-US" w:eastAsia="fr-FR"/>
        </w:rPr>
        <w:t>contrat</w:t>
      </w:r>
      <w:proofErr w:type="spellEnd"/>
      <w:r w:rsidRPr="006C614C">
        <w:rPr>
          <w:rFonts w:ascii="Arial Narrow" w:hAnsi="Arial Narrow"/>
          <w:b/>
          <w:color w:val="000000" w:themeColor="text1"/>
          <w:u w:val="single"/>
          <w:lang w:val="en-US" w:eastAsia="fr-FR"/>
        </w:rPr>
        <w:t xml:space="preserve"> </w:t>
      </w:r>
      <w:proofErr w:type="spellStart"/>
      <w:r w:rsidR="006C614C" w:rsidRPr="006C614C">
        <w:rPr>
          <w:rFonts w:ascii="Arial Narrow" w:hAnsi="Arial Narrow"/>
          <w:b/>
          <w:color w:val="000000" w:themeColor="text1"/>
          <w:u w:val="single"/>
          <w:lang w:val="en-US" w:eastAsia="fr-FR"/>
        </w:rPr>
        <w:t>d</w:t>
      </w:r>
      <w:r w:rsidR="006C614C">
        <w:rPr>
          <w:rFonts w:ascii="Arial Narrow" w:hAnsi="Arial Narrow"/>
          <w:b/>
          <w:color w:val="000000" w:themeColor="text1"/>
          <w:u w:val="single"/>
          <w:lang w:val="en-US" w:eastAsia="fr-FR"/>
        </w:rPr>
        <w:t>’</w:t>
      </w:r>
      <w:r w:rsidR="006C614C" w:rsidRPr="006C614C">
        <w:rPr>
          <w:rFonts w:ascii="Arial Narrow" w:hAnsi="Arial Narrow"/>
          <w:b/>
          <w:color w:val="000000" w:themeColor="text1"/>
          <w:u w:val="single"/>
          <w:lang w:val="en-US" w:eastAsia="fr-FR"/>
        </w:rPr>
        <w:t>e</w:t>
      </w:r>
      <w:r w:rsidR="006C614C">
        <w:rPr>
          <w:rFonts w:ascii="Arial Narrow" w:hAnsi="Arial Narrow"/>
          <w:b/>
          <w:color w:val="000000" w:themeColor="text1"/>
          <w:u w:val="single"/>
          <w:lang w:val="en-US" w:eastAsia="fr-FR"/>
        </w:rPr>
        <w:t>x</w:t>
      </w:r>
      <w:r w:rsidR="006C614C" w:rsidRPr="006C614C">
        <w:rPr>
          <w:rFonts w:ascii="Arial Narrow" w:hAnsi="Arial Narrow"/>
          <w:b/>
          <w:color w:val="000000" w:themeColor="text1"/>
          <w:u w:val="single"/>
          <w:lang w:val="en-US" w:eastAsia="fr-FR"/>
        </w:rPr>
        <w:t>posi</w:t>
      </w:r>
      <w:r w:rsidR="006C614C">
        <w:rPr>
          <w:rFonts w:ascii="Arial Narrow" w:hAnsi="Arial Narrow"/>
          <w:b/>
          <w:color w:val="000000" w:themeColor="text1"/>
          <w:u w:val="single"/>
          <w:lang w:val="en-US" w:eastAsia="fr-FR"/>
        </w:rPr>
        <w:t>tion</w:t>
      </w:r>
      <w:proofErr w:type="spellEnd"/>
      <w:r w:rsidRPr="006C614C">
        <w:rPr>
          <w:rFonts w:ascii="Arial Narrow" w:hAnsi="Arial Narrow"/>
          <w:b/>
          <w:color w:val="000000" w:themeColor="text1"/>
          <w:u w:val="single"/>
          <w:lang w:val="en-US" w:eastAsia="fr-FR"/>
        </w:rPr>
        <w:t xml:space="preserve"> - </w:t>
      </w:r>
      <w:r w:rsidRPr="006C614C">
        <w:rPr>
          <w:rFonts w:ascii="Arial Narrow" w:hAnsi="Arial Narrow"/>
          <w:b/>
          <w:bCs/>
          <w:color w:val="000000" w:themeColor="text1"/>
          <w:u w:val="single"/>
          <w:lang w:val="en-US"/>
        </w:rPr>
        <w:t>Selection of Shared Works</w:t>
      </w:r>
    </w:p>
    <w:p w:rsidR="00711D12" w:rsidRPr="000A1DC2" w:rsidRDefault="00711D12" w:rsidP="00711D12">
      <w:pPr>
        <w:jc w:val="both"/>
        <w:rPr>
          <w:rFonts w:ascii="Garamond" w:hAnsi="Garamond"/>
          <w:lang w:val="en-US" w:eastAsia="fr-FR"/>
        </w:rPr>
      </w:pPr>
    </w:p>
    <w:p w:rsidR="00711D12" w:rsidRPr="006C614C" w:rsidRDefault="00711D12" w:rsidP="006C614C">
      <w:pPr>
        <w:pStyle w:val="Index"/>
        <w:snapToGrid/>
        <w:spacing w:line="276" w:lineRule="auto"/>
        <w:rPr>
          <w:rFonts w:ascii="Arial Narrow" w:hAnsi="Arial Narrow" w:cs="Calibri"/>
          <w:lang w:val="en-US" w:eastAsia="en-US"/>
        </w:rPr>
      </w:pPr>
      <w:r w:rsidRPr="006C614C">
        <w:rPr>
          <w:rFonts w:ascii="Arial Narrow" w:hAnsi="Arial Narrow" w:cs="Calibri"/>
          <w:lang w:val="en-US" w:eastAsia="en-US"/>
        </w:rPr>
        <w:tab/>
        <w:t xml:space="preserve">If a Lender of a Shared Work issues its own loan agreement forms for each of the Parties, the Partner and the museum will separately negotiate the loan agreements with the Lender. Nevertheless, as first Venue, the Partner will inform the museum of any information that may be relevant regarding cost or specific modalities of the loan. If a Lender of a Shared Work issues a single loan agreement form for both Venues, the Partner and the museum will discuss and agree on the terms in advance of signing and will decide which Party will take the lead in any negotiations. During negotiations, the Parties will in all cases respond in a timeframe that allows for timely signing of the loan agreements, and in the absence of any urgency, will respond within five (5) business days. If a Lender of a Shared Work requests exceptional loan or conservation fees, or special conservation, insurance, transportation, display, or other arrangements that would be considered a Shared Cost, the Party will negotiate with Lenders consistent with Article 6.9 below, and no Party will make a reply without the written consent of the other Party, which must be provided within ten (10) business days. For the purposes of this Agreement, exceptional is defined as a substantial departure from standard fees for comparable works. Furthermore, the Parties will review Lender valuations for the Shared Works together consistent with Article 6.5 below. </w:t>
      </w:r>
    </w:p>
    <w:p w:rsidR="00711D12" w:rsidRPr="000A1DC2" w:rsidRDefault="00711D12" w:rsidP="00E26A32">
      <w:pPr>
        <w:jc w:val="both"/>
        <w:rPr>
          <w:rFonts w:ascii="Garamond" w:hAnsi="Garamond"/>
          <w:b/>
          <w:color w:val="6699FF"/>
          <w:u w:val="single"/>
          <w:lang w:val="en-US"/>
        </w:rPr>
      </w:pPr>
    </w:p>
    <w:p w:rsidR="00F261BA" w:rsidRPr="006C614C" w:rsidRDefault="00E26A32" w:rsidP="006C614C">
      <w:pPr>
        <w:pStyle w:val="Paragraphedeliste"/>
        <w:numPr>
          <w:ilvl w:val="0"/>
          <w:numId w:val="5"/>
        </w:numPr>
        <w:jc w:val="both"/>
        <w:rPr>
          <w:rFonts w:ascii="Arial Narrow" w:hAnsi="Arial Narrow"/>
          <w:b/>
          <w:sz w:val="24"/>
          <w:u w:val="single"/>
        </w:rPr>
      </w:pPr>
      <w:r w:rsidRPr="006C614C">
        <w:rPr>
          <w:rFonts w:ascii="Arial Narrow" w:hAnsi="Arial Narrow"/>
          <w:b/>
          <w:u w:val="single"/>
        </w:rPr>
        <w:t xml:space="preserve">Extrait </w:t>
      </w:r>
      <w:r w:rsidR="006C614C" w:rsidRPr="006C614C">
        <w:rPr>
          <w:rFonts w:ascii="Arial Narrow" w:hAnsi="Arial Narrow"/>
          <w:b/>
          <w:u w:val="single"/>
        </w:rPr>
        <w:t xml:space="preserve">de </w:t>
      </w:r>
      <w:r w:rsidRPr="006C614C">
        <w:rPr>
          <w:rFonts w:ascii="Arial Narrow" w:hAnsi="Arial Narrow"/>
          <w:b/>
          <w:u w:val="single"/>
        </w:rPr>
        <w:t>contrat d’expo</w:t>
      </w:r>
      <w:r w:rsidR="006C614C" w:rsidRPr="006C614C">
        <w:rPr>
          <w:rFonts w:ascii="Arial Narrow" w:hAnsi="Arial Narrow"/>
          <w:b/>
          <w:u w:val="single"/>
        </w:rPr>
        <w:t>sition</w:t>
      </w:r>
      <w:r w:rsidRPr="006C614C">
        <w:rPr>
          <w:rFonts w:ascii="Arial Narrow" w:hAnsi="Arial Narrow"/>
          <w:b/>
          <w:u w:val="single"/>
        </w:rPr>
        <w:t xml:space="preserve"> – article </w:t>
      </w:r>
      <w:r w:rsidR="006C614C" w:rsidRPr="006C614C">
        <w:rPr>
          <w:rFonts w:ascii="Arial Narrow" w:hAnsi="Arial Narrow"/>
          <w:b/>
          <w:u w:val="single"/>
        </w:rPr>
        <w:t>d’</w:t>
      </w:r>
      <w:r w:rsidRPr="006C614C">
        <w:rPr>
          <w:rFonts w:ascii="Arial Narrow" w:hAnsi="Arial Narrow"/>
          <w:b/>
          <w:u w:val="single"/>
        </w:rPr>
        <w:t xml:space="preserve">assurance </w:t>
      </w:r>
    </w:p>
    <w:p w:rsidR="00E26A32" w:rsidRPr="006C614C" w:rsidRDefault="00E26A32" w:rsidP="006C614C">
      <w:pPr>
        <w:jc w:val="both"/>
        <w:rPr>
          <w:rFonts w:ascii="Arial Narrow" w:hAnsi="Arial Narrow"/>
          <w:lang w:eastAsia="fr-FR"/>
        </w:rPr>
      </w:pPr>
    </w:p>
    <w:p w:rsidR="00F261BA" w:rsidRPr="006C614C" w:rsidRDefault="00F261BA" w:rsidP="006C614C">
      <w:pPr>
        <w:spacing w:line="276" w:lineRule="auto"/>
        <w:jc w:val="both"/>
        <w:rPr>
          <w:rFonts w:ascii="Arial Narrow" w:eastAsia="Times New Roman" w:hAnsi="Arial Narrow"/>
          <w:iCs/>
          <w:lang w:val="en-US"/>
        </w:rPr>
      </w:pPr>
      <w:r w:rsidRPr="006C614C">
        <w:rPr>
          <w:rFonts w:ascii="Arial Narrow" w:eastAsia="Times New Roman" w:hAnsi="Arial Narrow"/>
          <w:iCs/>
          <w:lang w:val="en-US"/>
        </w:rPr>
        <w:t>Except when otherwise requested by a Lender, the Shared Works wil</w:t>
      </w:r>
      <w:r w:rsidR="00E26A32" w:rsidRPr="006C614C">
        <w:rPr>
          <w:rFonts w:ascii="Arial Narrow" w:eastAsia="Times New Roman" w:hAnsi="Arial Narrow"/>
          <w:iCs/>
          <w:lang w:val="en-US"/>
        </w:rPr>
        <w:t xml:space="preserve">l be covered by commercial fine </w:t>
      </w:r>
      <w:r w:rsidRPr="006C614C">
        <w:rPr>
          <w:rFonts w:ascii="Arial Narrow" w:eastAsia="Times New Roman" w:hAnsi="Arial Narrow"/>
          <w:iCs/>
          <w:lang w:val="en-US"/>
        </w:rPr>
        <w:t>arts insurance and/or government indemnity:</w:t>
      </w:r>
    </w:p>
    <w:p w:rsidR="00E26A32" w:rsidRPr="006C614C" w:rsidRDefault="00E26A32" w:rsidP="006C614C">
      <w:pPr>
        <w:pStyle w:val="Index"/>
        <w:snapToGrid/>
        <w:spacing w:line="276" w:lineRule="auto"/>
        <w:rPr>
          <w:rFonts w:ascii="Arial Narrow" w:eastAsia="Times New Roman" w:hAnsi="Arial Narrow" w:cs="Calibri"/>
          <w:iCs/>
          <w:lang w:val="en-US" w:eastAsia="en-US"/>
        </w:rPr>
      </w:pPr>
    </w:p>
    <w:p w:rsidR="00F261BA" w:rsidRPr="006C614C" w:rsidRDefault="00F261BA" w:rsidP="006C614C">
      <w:pPr>
        <w:pStyle w:val="Paragraphedeliste"/>
        <w:numPr>
          <w:ilvl w:val="0"/>
          <w:numId w:val="6"/>
        </w:numPr>
        <w:spacing w:line="276" w:lineRule="auto"/>
        <w:jc w:val="both"/>
        <w:rPr>
          <w:rFonts w:ascii="Arial Narrow" w:eastAsia="Times New Roman" w:hAnsi="Arial Narrow"/>
          <w:iCs/>
          <w:lang w:val="en-US"/>
        </w:rPr>
      </w:pPr>
      <w:r w:rsidRPr="006C614C">
        <w:rPr>
          <w:rFonts w:ascii="Arial Narrow" w:eastAsia="Times New Roman" w:hAnsi="Arial Narrow"/>
          <w:iCs/>
          <w:lang w:val="en-US"/>
        </w:rPr>
        <w:t>at values agreed upon in writing by Lenders and both Parties;</w:t>
      </w:r>
    </w:p>
    <w:p w:rsidR="00F261BA" w:rsidRPr="006C614C" w:rsidRDefault="00F261BA" w:rsidP="006C614C">
      <w:pPr>
        <w:pStyle w:val="Paragraphedeliste"/>
        <w:numPr>
          <w:ilvl w:val="0"/>
          <w:numId w:val="6"/>
        </w:numPr>
        <w:spacing w:line="276" w:lineRule="auto"/>
        <w:jc w:val="both"/>
        <w:rPr>
          <w:rFonts w:ascii="Arial Narrow" w:eastAsia="Times New Roman" w:hAnsi="Arial Narrow"/>
          <w:iCs/>
          <w:lang w:val="en-US"/>
        </w:rPr>
      </w:pPr>
      <w:r w:rsidRPr="006C614C">
        <w:rPr>
          <w:rFonts w:ascii="Arial Narrow" w:eastAsia="Times New Roman" w:hAnsi="Arial Narrow"/>
          <w:iCs/>
          <w:lang w:val="en-US"/>
        </w:rPr>
        <w:t xml:space="preserve">against all risks, wall to wall, subject to the standard exclusions of each insurance policy and/or government indemnity (The Parties’ insurance policies contain the following exclusions: wear and tear, gradual deterioration, inherent vice, or loss or damage sustained due to or resulting from any repairing, restoration, or retouching process, war risks in overseas transit, nuclear reaction, nuclear radiation, radioactive contamination, </w:t>
      </w:r>
      <w:r w:rsidR="00E26A32" w:rsidRPr="006C614C">
        <w:rPr>
          <w:rFonts w:ascii="Arial Narrow" w:eastAsia="Times New Roman" w:hAnsi="Arial Narrow"/>
          <w:iCs/>
          <w:lang w:val="en-US"/>
        </w:rPr>
        <w:t>and terrorism on site at the Partner’s site</w:t>
      </w:r>
      <w:r w:rsidR="00FE00BD" w:rsidRPr="006C614C">
        <w:rPr>
          <w:rFonts w:ascii="Arial Narrow" w:eastAsia="Times New Roman" w:hAnsi="Arial Narrow"/>
          <w:iCs/>
          <w:lang w:val="en-US"/>
        </w:rPr>
        <w:t xml:space="preserve"> for the museum</w:t>
      </w:r>
      <w:r w:rsidRPr="006C614C">
        <w:rPr>
          <w:rFonts w:ascii="Arial Narrow" w:eastAsia="Times New Roman" w:hAnsi="Arial Narrow"/>
          <w:iCs/>
          <w:lang w:val="en-US"/>
        </w:rPr>
        <w:t xml:space="preserve"> loans and</w:t>
      </w:r>
      <w:r w:rsidR="00FE00BD" w:rsidRPr="006C614C">
        <w:rPr>
          <w:rFonts w:ascii="Arial Narrow" w:eastAsia="Times New Roman" w:hAnsi="Arial Narrow"/>
          <w:iCs/>
          <w:lang w:val="en-US"/>
        </w:rPr>
        <w:t>, the museum</w:t>
      </w:r>
      <w:r w:rsidR="00711D12" w:rsidRPr="006C614C">
        <w:rPr>
          <w:rFonts w:ascii="Arial Narrow" w:eastAsia="Times New Roman" w:hAnsi="Arial Narrow"/>
          <w:iCs/>
          <w:lang w:val="en-US"/>
        </w:rPr>
        <w:t xml:space="preserve"> for all the Shared Works</w:t>
      </w:r>
      <w:r w:rsidRPr="006C614C">
        <w:rPr>
          <w:rFonts w:ascii="Arial Narrow" w:eastAsia="Times New Roman" w:hAnsi="Arial Narrow"/>
          <w:iCs/>
          <w:lang w:val="en-US"/>
        </w:rPr>
        <w:t>);</w:t>
      </w:r>
    </w:p>
    <w:p w:rsidR="00F261BA" w:rsidRPr="006C614C" w:rsidRDefault="00F261BA" w:rsidP="006C614C">
      <w:pPr>
        <w:pStyle w:val="Paragraphedeliste"/>
        <w:numPr>
          <w:ilvl w:val="0"/>
          <w:numId w:val="6"/>
        </w:numPr>
        <w:spacing w:line="276" w:lineRule="auto"/>
        <w:jc w:val="both"/>
        <w:rPr>
          <w:rFonts w:ascii="Arial Narrow" w:eastAsia="Times New Roman" w:hAnsi="Arial Narrow"/>
          <w:iCs/>
          <w:lang w:val="en-US"/>
        </w:rPr>
      </w:pPr>
      <w:bookmarkStart w:id="0" w:name="_Hlk147843510"/>
      <w:r w:rsidRPr="006C614C">
        <w:rPr>
          <w:rFonts w:ascii="Arial Narrow" w:eastAsia="Times New Roman" w:hAnsi="Arial Narrow"/>
          <w:iCs/>
          <w:lang w:val="en-US"/>
        </w:rPr>
        <w:t>with unlimited waivers of subrogation against the Parties and their agents, shippers, and/or packers for all Shared Works covered by commercial fine-arts insurance, and with limited waiver</w:t>
      </w:r>
      <w:r w:rsidR="00E26A32" w:rsidRPr="006C614C">
        <w:rPr>
          <w:rFonts w:ascii="Arial Narrow" w:eastAsia="Times New Roman" w:hAnsi="Arial Narrow"/>
          <w:iCs/>
          <w:lang w:val="en-US"/>
        </w:rPr>
        <w:t>s of subrogation against the Partner</w:t>
      </w:r>
      <w:r w:rsidRPr="006C614C">
        <w:rPr>
          <w:rFonts w:ascii="Arial Narrow" w:eastAsia="Times New Roman" w:hAnsi="Arial Narrow"/>
          <w:iCs/>
          <w:lang w:val="en-US"/>
        </w:rPr>
        <w:t xml:space="preserve"> and its agents, shippers, and/or packers for Shared Works covered by government indemnity; </w:t>
      </w:r>
    </w:p>
    <w:bookmarkEnd w:id="0"/>
    <w:p w:rsidR="00F261BA" w:rsidRPr="006C614C" w:rsidRDefault="00F261BA" w:rsidP="006C614C">
      <w:pPr>
        <w:pStyle w:val="Paragraphedeliste"/>
        <w:numPr>
          <w:ilvl w:val="0"/>
          <w:numId w:val="6"/>
        </w:numPr>
        <w:spacing w:line="276" w:lineRule="auto"/>
        <w:jc w:val="both"/>
        <w:rPr>
          <w:rFonts w:ascii="Arial Narrow" w:eastAsia="Times New Roman" w:hAnsi="Arial Narrow"/>
          <w:lang w:val="en-US"/>
        </w:rPr>
      </w:pPr>
      <w:r w:rsidRPr="006C614C">
        <w:rPr>
          <w:rFonts w:ascii="Arial Narrow" w:eastAsia="Times New Roman" w:hAnsi="Arial Narrow"/>
          <w:iCs/>
          <w:lang w:val="en-US"/>
        </w:rPr>
        <w:t>with depreciation in value in case of damage, covered by the insurance policy and/or government indemnity, provided that such depreciation does not exceed the agreed value of the Work stated in the applicable loan agreement</w:t>
      </w:r>
      <w:r w:rsidR="00711D12" w:rsidRPr="006C614C">
        <w:rPr>
          <w:rFonts w:ascii="Arial Narrow" w:eastAsia="Times New Roman" w:hAnsi="Arial Narrow"/>
          <w:lang w:val="en-US"/>
        </w:rPr>
        <w:t>.</w:t>
      </w:r>
    </w:p>
    <w:p w:rsidR="00FE00BD" w:rsidRPr="006C614C" w:rsidRDefault="00FE00BD" w:rsidP="006C614C">
      <w:pPr>
        <w:jc w:val="both"/>
        <w:rPr>
          <w:rFonts w:ascii="Arial Narrow" w:eastAsia="Times New Roman" w:hAnsi="Arial Narrow"/>
          <w:lang w:val="en-US"/>
        </w:rPr>
      </w:pPr>
    </w:p>
    <w:p w:rsidR="00FE00BD" w:rsidRPr="006C614C" w:rsidRDefault="00FE00BD" w:rsidP="006C614C">
      <w:pPr>
        <w:pStyle w:val="Paragraphedeliste"/>
        <w:numPr>
          <w:ilvl w:val="0"/>
          <w:numId w:val="5"/>
        </w:numPr>
        <w:jc w:val="both"/>
        <w:rPr>
          <w:rFonts w:ascii="Arial Narrow" w:hAnsi="Arial Narrow"/>
          <w:b/>
          <w:bCs/>
          <w:u w:val="single"/>
        </w:rPr>
      </w:pPr>
      <w:r w:rsidRPr="006C614C">
        <w:rPr>
          <w:rFonts w:ascii="Arial Narrow" w:eastAsia="Times New Roman" w:hAnsi="Arial Narrow"/>
          <w:b/>
          <w:u w:val="single"/>
        </w:rPr>
        <w:t xml:space="preserve">Extrait </w:t>
      </w:r>
      <w:r w:rsidR="006C614C">
        <w:rPr>
          <w:rFonts w:ascii="Arial Narrow" w:eastAsia="Times New Roman" w:hAnsi="Arial Narrow"/>
          <w:b/>
          <w:u w:val="single"/>
        </w:rPr>
        <w:t xml:space="preserve">de </w:t>
      </w:r>
      <w:r w:rsidRPr="006C614C">
        <w:rPr>
          <w:rFonts w:ascii="Arial Narrow" w:eastAsia="Times New Roman" w:hAnsi="Arial Narrow"/>
          <w:b/>
          <w:u w:val="single"/>
        </w:rPr>
        <w:t>contrat d’expo</w:t>
      </w:r>
      <w:r w:rsidR="006C614C">
        <w:rPr>
          <w:rFonts w:ascii="Arial Narrow" w:eastAsia="Times New Roman" w:hAnsi="Arial Narrow"/>
          <w:b/>
          <w:u w:val="single"/>
        </w:rPr>
        <w:t>sition</w:t>
      </w:r>
      <w:r w:rsidRPr="006C614C">
        <w:rPr>
          <w:rFonts w:ascii="Arial Narrow" w:eastAsia="Times New Roman" w:hAnsi="Arial Narrow"/>
          <w:b/>
          <w:u w:val="single"/>
          <w:lang w:val="en-US"/>
        </w:rPr>
        <w:t xml:space="preserve"> - </w:t>
      </w:r>
      <w:proofErr w:type="spellStart"/>
      <w:r w:rsidRPr="006C614C">
        <w:rPr>
          <w:rFonts w:ascii="Arial Narrow" w:hAnsi="Arial Narrow"/>
          <w:b/>
          <w:bCs/>
          <w:u w:val="single"/>
        </w:rPr>
        <w:t>Insurance</w:t>
      </w:r>
      <w:proofErr w:type="spellEnd"/>
      <w:r w:rsidRPr="006C614C">
        <w:rPr>
          <w:rFonts w:ascii="Arial Narrow" w:hAnsi="Arial Narrow"/>
          <w:b/>
          <w:bCs/>
          <w:u w:val="single"/>
        </w:rPr>
        <w:t xml:space="preserve"> and </w:t>
      </w:r>
      <w:proofErr w:type="spellStart"/>
      <w:r w:rsidRPr="006C614C">
        <w:rPr>
          <w:rFonts w:ascii="Arial Narrow" w:hAnsi="Arial Narrow"/>
          <w:b/>
          <w:bCs/>
          <w:u w:val="single"/>
        </w:rPr>
        <w:t>Indemnity</w:t>
      </w:r>
      <w:proofErr w:type="spellEnd"/>
      <w:r w:rsidRPr="006C614C">
        <w:rPr>
          <w:rFonts w:ascii="Arial Narrow" w:hAnsi="Arial Narrow"/>
          <w:b/>
          <w:bCs/>
          <w:u w:val="single"/>
        </w:rPr>
        <w:t xml:space="preserve"> </w:t>
      </w:r>
    </w:p>
    <w:p w:rsidR="00FE00BD" w:rsidRPr="006C614C" w:rsidRDefault="00FE00BD" w:rsidP="006C614C">
      <w:pPr>
        <w:jc w:val="both"/>
        <w:rPr>
          <w:rFonts w:ascii="Arial Narrow" w:eastAsia="Times New Roman" w:hAnsi="Arial Narrow"/>
          <w:lang w:val="en-US"/>
        </w:rPr>
      </w:pPr>
    </w:p>
    <w:p w:rsidR="00F261BA" w:rsidRPr="006C614C" w:rsidRDefault="00FE00BD" w:rsidP="006C614C">
      <w:pPr>
        <w:spacing w:line="276" w:lineRule="auto"/>
        <w:jc w:val="both"/>
        <w:rPr>
          <w:rFonts w:ascii="Arial Narrow" w:eastAsia="Times New Roman" w:hAnsi="Arial Narrow"/>
          <w:lang w:val="en-AU"/>
        </w:rPr>
      </w:pPr>
      <w:r w:rsidRPr="006C614C">
        <w:rPr>
          <w:rFonts w:ascii="Arial Narrow" w:eastAsia="Times New Roman" w:hAnsi="Arial Narrow"/>
          <w:iCs/>
          <w:lang w:val="en-US"/>
        </w:rPr>
        <w:t>The museum</w:t>
      </w:r>
      <w:r w:rsidR="00F261BA" w:rsidRPr="006C614C">
        <w:rPr>
          <w:rFonts w:ascii="Arial Narrow" w:eastAsia="Times New Roman" w:hAnsi="Arial Narrow"/>
          <w:iCs/>
          <w:lang w:val="en-US"/>
        </w:rPr>
        <w:t xml:space="preserve"> will arrange for French Government Indemnity and/or commercial fine-arts insurance to cover the Shared Works from the time the Shared Works are conditi</w:t>
      </w:r>
      <w:r w:rsidRPr="006C614C">
        <w:rPr>
          <w:rFonts w:ascii="Arial Narrow" w:eastAsia="Times New Roman" w:hAnsi="Arial Narrow"/>
          <w:iCs/>
          <w:lang w:val="en-US"/>
        </w:rPr>
        <w:t>on-checked and packed at the Partner’s site, in transit to the museum</w:t>
      </w:r>
      <w:r w:rsidR="00F261BA" w:rsidRPr="006C614C">
        <w:rPr>
          <w:rFonts w:ascii="Arial Narrow" w:eastAsia="Times New Roman" w:hAnsi="Arial Narrow"/>
          <w:iCs/>
          <w:lang w:val="en-US"/>
        </w:rPr>
        <w:t>, whi</w:t>
      </w:r>
      <w:r w:rsidRPr="006C614C">
        <w:rPr>
          <w:rFonts w:ascii="Arial Narrow" w:eastAsia="Times New Roman" w:hAnsi="Arial Narrow"/>
          <w:iCs/>
          <w:lang w:val="en-US"/>
        </w:rPr>
        <w:t>le on exhibition at the museum</w:t>
      </w:r>
      <w:r w:rsidR="00F261BA" w:rsidRPr="006C614C">
        <w:rPr>
          <w:rFonts w:ascii="Arial Narrow" w:eastAsia="Times New Roman" w:hAnsi="Arial Narrow"/>
          <w:iCs/>
          <w:lang w:val="en-US"/>
        </w:rPr>
        <w:t>, in transit</w:t>
      </w:r>
      <w:r w:rsidR="00F261BA" w:rsidRPr="006C614C">
        <w:rPr>
          <w:rFonts w:ascii="Arial Narrow" w:eastAsia="Times New Roman" w:hAnsi="Arial Narrow"/>
          <w:iCs/>
          <w:lang w:val="en-AU"/>
        </w:rPr>
        <w:t xml:space="preserve"> to Lenders, until the Shared Works are unpacked and condition-checked at Lenders’ premises</w:t>
      </w:r>
      <w:r w:rsidRPr="006C614C">
        <w:rPr>
          <w:rFonts w:ascii="Arial Narrow" w:eastAsia="Times New Roman" w:hAnsi="Arial Narrow"/>
          <w:lang w:val="en-AU"/>
        </w:rPr>
        <w:t>.</w:t>
      </w:r>
    </w:p>
    <w:p w:rsidR="00F261BA" w:rsidRPr="006C614C" w:rsidRDefault="00F261BA" w:rsidP="006C614C">
      <w:pPr>
        <w:spacing w:line="276" w:lineRule="auto"/>
        <w:jc w:val="both"/>
        <w:rPr>
          <w:rFonts w:ascii="Arial Narrow" w:hAnsi="Arial Narrow"/>
          <w:lang w:val="en-AU"/>
        </w:rPr>
      </w:pPr>
    </w:p>
    <w:p w:rsidR="00F261BA" w:rsidRPr="006C614C" w:rsidRDefault="00F261BA" w:rsidP="006C614C">
      <w:pPr>
        <w:spacing w:line="276" w:lineRule="auto"/>
        <w:jc w:val="both"/>
        <w:rPr>
          <w:rFonts w:ascii="Arial Narrow" w:hAnsi="Arial Narrow"/>
          <w:lang w:val="en-AU"/>
        </w:rPr>
      </w:pPr>
      <w:r w:rsidRPr="006C614C">
        <w:rPr>
          <w:rFonts w:ascii="Arial Narrow" w:hAnsi="Arial Narrow"/>
          <w:iCs/>
          <w:lang w:val="en-AU"/>
        </w:rPr>
        <w:t xml:space="preserve">If a Lender requires the Parties to insure a Shared Work under a policy of the Lender’s choosing, the Parties will pay the cost directly or will reimburse the Lender for the cost of such insurance and will require the Lender to name the Parties as additional insureds and provide a waiver of subrogation against the Parties and their agents, shippers and/or packers. The division of costs between the Parties for such insurance is set forth in Article 12. If a Lender requires only one Party to insure the Shared Work at the Party’s Venue under a policy of the Lender’s choosing, </w:t>
      </w:r>
      <w:r w:rsidRPr="006C614C">
        <w:rPr>
          <w:rFonts w:ascii="Arial Narrow" w:hAnsi="Arial Narrow"/>
          <w:iCs/>
          <w:lang w:val="en-AU"/>
        </w:rPr>
        <w:lastRenderedPageBreak/>
        <w:t>that Party will be responsible for the cost of such insurance. If a Lender requires a single insurance policy for the duration of the Ex</w:t>
      </w:r>
      <w:r w:rsidR="00FE00BD" w:rsidRPr="006C614C">
        <w:rPr>
          <w:rFonts w:ascii="Arial Narrow" w:hAnsi="Arial Narrow"/>
          <w:iCs/>
          <w:lang w:val="en-AU"/>
        </w:rPr>
        <w:t>hibition at both Venues, the Partner</w:t>
      </w:r>
      <w:r w:rsidRPr="006C614C">
        <w:rPr>
          <w:rFonts w:ascii="Arial Narrow" w:hAnsi="Arial Narrow"/>
          <w:iCs/>
          <w:lang w:val="en-AU"/>
        </w:rPr>
        <w:t xml:space="preserve"> or the Lender will agree to insure the </w:t>
      </w:r>
      <w:r w:rsidR="00FE00BD" w:rsidRPr="006C614C">
        <w:rPr>
          <w:rFonts w:ascii="Arial Narrow" w:hAnsi="Arial Narrow"/>
          <w:iCs/>
          <w:lang w:val="en-AU"/>
        </w:rPr>
        <w:t>Shared Work/s, the Partner</w:t>
      </w:r>
      <w:r w:rsidRPr="006C614C">
        <w:rPr>
          <w:rFonts w:ascii="Arial Narrow" w:hAnsi="Arial Narrow"/>
          <w:iCs/>
          <w:lang w:val="en-AU"/>
        </w:rPr>
        <w:t xml:space="preserve"> will initially pay, and these costs shall be borne equally by the Parties when the final accounts for the Exhibition are drawn up, as set forth in Article 12</w:t>
      </w:r>
      <w:r w:rsidR="00FE00BD" w:rsidRPr="006C614C">
        <w:rPr>
          <w:rFonts w:ascii="Arial Narrow" w:hAnsi="Arial Narrow"/>
          <w:lang w:val="en-AU"/>
        </w:rPr>
        <w:t>.</w:t>
      </w:r>
    </w:p>
    <w:p w:rsidR="00F261BA" w:rsidRPr="006C614C" w:rsidRDefault="00F261BA" w:rsidP="006C614C">
      <w:pPr>
        <w:spacing w:line="276" w:lineRule="auto"/>
        <w:jc w:val="both"/>
        <w:rPr>
          <w:rFonts w:ascii="Arial Narrow" w:hAnsi="Arial Narrow"/>
          <w:lang w:val="en-US"/>
        </w:rPr>
      </w:pPr>
    </w:p>
    <w:p w:rsidR="00F261BA" w:rsidRPr="006C614C" w:rsidRDefault="00F261BA" w:rsidP="006C614C">
      <w:pPr>
        <w:spacing w:line="276" w:lineRule="auto"/>
        <w:jc w:val="both"/>
        <w:rPr>
          <w:rFonts w:ascii="Arial Narrow" w:eastAsia="Times New Roman" w:hAnsi="Arial Narrow"/>
          <w:lang w:val="en-US"/>
        </w:rPr>
      </w:pPr>
      <w:r w:rsidRPr="006C614C">
        <w:rPr>
          <w:rFonts w:ascii="Arial Narrow" w:eastAsia="Times New Roman" w:hAnsi="Arial Narrow"/>
          <w:iCs/>
          <w:lang w:val="en-US"/>
        </w:rPr>
        <w:t>To ensure that Lender valuations represent the fair market value of the Shared Works, the Parties will review together Lender valuations for the Shared Works. No Party may agree with any Lender on a valuation, or an increase in any valuation previously provided, without obtaining the advance written permission of the other Party. Notwith</w:t>
      </w:r>
      <w:r w:rsidR="00FE00BD" w:rsidRPr="006C614C">
        <w:rPr>
          <w:rFonts w:ascii="Arial Narrow" w:eastAsia="Times New Roman" w:hAnsi="Arial Narrow"/>
          <w:iCs/>
          <w:lang w:val="en-US"/>
        </w:rPr>
        <w:t>standing the foregoing, the museum</w:t>
      </w:r>
      <w:r w:rsidRPr="006C614C">
        <w:rPr>
          <w:rFonts w:ascii="Arial Narrow" w:eastAsia="Times New Roman" w:hAnsi="Arial Narrow"/>
          <w:iCs/>
          <w:lang w:val="en-US"/>
        </w:rPr>
        <w:t xml:space="preserve"> may agree with a fluctuation in a </w:t>
      </w:r>
      <w:r w:rsidR="00FE00BD" w:rsidRPr="006C614C">
        <w:rPr>
          <w:rFonts w:ascii="Arial Narrow" w:eastAsia="Times New Roman" w:hAnsi="Arial Narrow"/>
          <w:iCs/>
          <w:lang w:val="en-US"/>
        </w:rPr>
        <w:t>Lender valuation without the Partner</w:t>
      </w:r>
      <w:r w:rsidRPr="006C614C">
        <w:rPr>
          <w:rFonts w:ascii="Arial Narrow" w:eastAsia="Times New Roman" w:hAnsi="Arial Narrow"/>
          <w:iCs/>
          <w:lang w:val="en-US"/>
        </w:rPr>
        <w:t>’s permission if the fluctuation applies only</w:t>
      </w:r>
      <w:r w:rsidR="00FE00BD" w:rsidRPr="006C614C">
        <w:rPr>
          <w:rFonts w:ascii="Arial Narrow" w:eastAsia="Times New Roman" w:hAnsi="Arial Narrow"/>
          <w:iCs/>
          <w:lang w:val="en-US"/>
        </w:rPr>
        <w:t xml:space="preserve"> to the period in which the museum</w:t>
      </w:r>
      <w:r w:rsidRPr="006C614C">
        <w:rPr>
          <w:rFonts w:ascii="Arial Narrow" w:eastAsia="Times New Roman" w:hAnsi="Arial Narrow"/>
          <w:iCs/>
          <w:lang w:val="en-US"/>
        </w:rPr>
        <w:t xml:space="preserve"> is responsible for insuring the Shared Work</w:t>
      </w:r>
      <w:r w:rsidR="00FE00BD" w:rsidRPr="006C614C">
        <w:rPr>
          <w:rFonts w:ascii="Arial Narrow" w:eastAsia="Times New Roman" w:hAnsi="Arial Narrow"/>
          <w:lang w:val="en-US"/>
        </w:rPr>
        <w:t>.</w:t>
      </w:r>
    </w:p>
    <w:p w:rsidR="0029779E" w:rsidRPr="006C614C" w:rsidRDefault="0029779E" w:rsidP="006C614C">
      <w:pPr>
        <w:jc w:val="both"/>
        <w:rPr>
          <w:rFonts w:ascii="Arial Narrow" w:hAnsi="Arial Narrow"/>
          <w:lang w:val="en-US"/>
        </w:rPr>
      </w:pPr>
    </w:p>
    <w:p w:rsidR="005B3DFD" w:rsidRPr="006C614C" w:rsidRDefault="00FE00BD" w:rsidP="006C614C">
      <w:pPr>
        <w:pStyle w:val="Paragraphedeliste"/>
        <w:numPr>
          <w:ilvl w:val="0"/>
          <w:numId w:val="5"/>
        </w:numPr>
        <w:jc w:val="both"/>
        <w:rPr>
          <w:rFonts w:ascii="Arial Narrow" w:hAnsi="Arial Narrow"/>
          <w:b/>
          <w:u w:val="single"/>
        </w:rPr>
      </w:pPr>
      <w:r w:rsidRPr="006C614C">
        <w:rPr>
          <w:rFonts w:ascii="Arial Narrow" w:hAnsi="Arial Narrow"/>
          <w:b/>
          <w:u w:val="single"/>
        </w:rPr>
        <w:t>Extrait contrat de licence de marque - l</w:t>
      </w:r>
      <w:r w:rsidR="005B3DFD" w:rsidRPr="006C614C">
        <w:rPr>
          <w:rFonts w:ascii="Arial Narrow" w:hAnsi="Arial Narrow"/>
          <w:b/>
          <w:u w:val="single"/>
        </w:rPr>
        <w:t xml:space="preserve">imitation of </w:t>
      </w:r>
      <w:proofErr w:type="spellStart"/>
      <w:r w:rsidR="005B3DFD" w:rsidRPr="006C614C">
        <w:rPr>
          <w:rFonts w:ascii="Arial Narrow" w:hAnsi="Arial Narrow"/>
          <w:b/>
          <w:u w:val="single"/>
        </w:rPr>
        <w:t>liability</w:t>
      </w:r>
      <w:proofErr w:type="spellEnd"/>
      <w:r w:rsidR="006C614C" w:rsidRPr="006C614C">
        <w:rPr>
          <w:rFonts w:ascii="Arial Narrow" w:hAnsi="Arial Narrow"/>
          <w:b/>
          <w:u w:val="single"/>
        </w:rPr>
        <w:t xml:space="preserve"> </w:t>
      </w:r>
      <w:r w:rsidR="005B3DFD" w:rsidRPr="006C614C">
        <w:rPr>
          <w:rFonts w:ascii="Arial Narrow" w:hAnsi="Arial Narrow"/>
          <w:b/>
          <w:u w:val="single"/>
        </w:rPr>
        <w:t>:</w:t>
      </w:r>
      <w:r w:rsidRPr="006C614C">
        <w:rPr>
          <w:rFonts w:ascii="Arial Narrow" w:hAnsi="Arial Narrow"/>
          <w:b/>
          <w:u w:val="single"/>
        </w:rPr>
        <w:t xml:space="preserve"> </w:t>
      </w:r>
    </w:p>
    <w:p w:rsidR="00FE00BD" w:rsidRPr="006C614C" w:rsidRDefault="00FE00BD" w:rsidP="006C614C">
      <w:pPr>
        <w:jc w:val="both"/>
        <w:rPr>
          <w:rFonts w:ascii="Arial Narrow" w:hAnsi="Arial Narrow"/>
        </w:rPr>
      </w:pPr>
    </w:p>
    <w:p w:rsidR="005B3DFD" w:rsidRPr="006C614C" w:rsidRDefault="005B3DFD" w:rsidP="006C614C">
      <w:pPr>
        <w:pStyle w:val="Index"/>
        <w:snapToGrid/>
        <w:spacing w:line="276" w:lineRule="auto"/>
        <w:rPr>
          <w:rFonts w:ascii="Arial Narrow" w:hAnsi="Arial Narrow" w:cs="Calibri"/>
          <w:lang w:val="en-GB" w:eastAsia="en-US"/>
        </w:rPr>
      </w:pPr>
      <w:r w:rsidRPr="006C614C">
        <w:rPr>
          <w:rFonts w:ascii="Arial Narrow" w:hAnsi="Arial Narrow" w:cs="Calibri"/>
          <w:lang w:val="en-GB" w:eastAsia="en-US"/>
        </w:rPr>
        <w:t>The Partner shall not, under any circumstances, be liable to licensor for any consequential, exemplary, incidental, indirect, punitive or special damages, including, without limitation, damages for loss of profits, loss of data, business interruption or any other commercial damages or losses, arising out of or in relation to this agreement, licensor’s use or misuse of the portals, whether based on breach of contract, breach of warranty, tort (including negligence), product liability or otherwise, even if the Partner has been advised of the possibility of such damages and notwithstanding the failure of the es</w:t>
      </w:r>
      <w:r w:rsidR="00FE00BD" w:rsidRPr="006C614C">
        <w:rPr>
          <w:rFonts w:ascii="Arial Narrow" w:hAnsi="Arial Narrow" w:cs="Calibri"/>
          <w:lang w:val="en-GB" w:eastAsia="en-US"/>
        </w:rPr>
        <w:t>sential purpose of any remedy. I</w:t>
      </w:r>
      <w:r w:rsidRPr="006C614C">
        <w:rPr>
          <w:rFonts w:ascii="Arial Narrow" w:hAnsi="Arial Narrow" w:cs="Calibri"/>
          <w:lang w:val="en-GB" w:eastAsia="en-US"/>
        </w:rPr>
        <w:t>n all events, licensor’s sole remedy under this agreement for any claim of breach shall be to terminate this agr</w:t>
      </w:r>
      <w:r w:rsidR="00FE00BD" w:rsidRPr="006C614C">
        <w:rPr>
          <w:rFonts w:ascii="Arial Narrow" w:hAnsi="Arial Narrow" w:cs="Calibri"/>
          <w:lang w:val="en-GB" w:eastAsia="en-US"/>
        </w:rPr>
        <w:t>eement. I</w:t>
      </w:r>
      <w:r w:rsidRPr="006C614C">
        <w:rPr>
          <w:rFonts w:ascii="Arial Narrow" w:hAnsi="Arial Narrow" w:cs="Calibri"/>
          <w:lang w:val="en-GB" w:eastAsia="en-US"/>
        </w:rPr>
        <w:t xml:space="preserve">n no event will the Partner be liable to any third parties for any damages whatsoever. </w:t>
      </w:r>
    </w:p>
    <w:p w:rsidR="005B3DFD" w:rsidRPr="006C614C" w:rsidRDefault="005B3DFD" w:rsidP="006C614C">
      <w:pPr>
        <w:jc w:val="both"/>
        <w:rPr>
          <w:rFonts w:ascii="Arial Narrow" w:hAnsi="Arial Narrow" w:cs="Times New Roman"/>
          <w:lang w:val="en-GB"/>
        </w:rPr>
      </w:pPr>
    </w:p>
    <w:p w:rsidR="00711D12" w:rsidRPr="006C614C" w:rsidRDefault="00711D12" w:rsidP="006C614C">
      <w:pPr>
        <w:jc w:val="both"/>
        <w:rPr>
          <w:rFonts w:ascii="Arial Narrow" w:hAnsi="Arial Narrow" w:cs="Times New Roman"/>
          <w:lang w:val="en-GB"/>
        </w:rPr>
      </w:pPr>
    </w:p>
    <w:p w:rsidR="00FE00BD" w:rsidRPr="006C614C" w:rsidRDefault="00FE00BD" w:rsidP="006C614C">
      <w:pPr>
        <w:pStyle w:val="Paragraphedeliste"/>
        <w:numPr>
          <w:ilvl w:val="0"/>
          <w:numId w:val="5"/>
        </w:numPr>
        <w:jc w:val="both"/>
        <w:rPr>
          <w:rFonts w:ascii="Arial Narrow" w:hAnsi="Arial Narrow"/>
          <w:b/>
        </w:rPr>
      </w:pPr>
      <w:r w:rsidRPr="006C614C">
        <w:rPr>
          <w:rFonts w:ascii="Arial Narrow" w:hAnsi="Arial Narrow"/>
          <w:b/>
          <w:u w:val="single"/>
        </w:rPr>
        <w:t>Extrait contrat de licence de marque – confidentialité</w:t>
      </w:r>
      <w:r w:rsidRPr="006C614C">
        <w:rPr>
          <w:rFonts w:ascii="Arial Narrow" w:hAnsi="Arial Narrow"/>
          <w:b/>
        </w:rPr>
        <w:t xml:space="preserve"> : </w:t>
      </w:r>
    </w:p>
    <w:p w:rsidR="00FE00BD" w:rsidRPr="006C614C" w:rsidRDefault="00FE00BD" w:rsidP="006C614C">
      <w:pPr>
        <w:jc w:val="both"/>
        <w:rPr>
          <w:rFonts w:ascii="Arial Narrow" w:hAnsi="Arial Narrow" w:cs="Times New Roman"/>
        </w:rPr>
      </w:pP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“Confidential Information” means any information communicated directly or indirectly by any means whatsoever by one Party to the other Party (including its employees, subcontractors, agents, or service providers) before or after the effective date of the agreement, including, in particular, information relating to the conclusion of the agreement and its content, collaboration, communication activities, forthcoming artistic creations and projects, operations, processes, plans, business confidentiality, prices, technical information, unpublished budgets and financial statements, financial and accounting information, contacts, commercial proposals and activities of the Party concerned, as well as any information that is confidential by its nature.</w:t>
      </w:r>
    </w:p>
    <w:p w:rsidR="005B3DFD" w:rsidRPr="006C614C" w:rsidRDefault="005B3DFD" w:rsidP="006C614C">
      <w:pPr>
        <w:spacing w:line="276" w:lineRule="auto"/>
        <w:jc w:val="both"/>
        <w:rPr>
          <w:rFonts w:ascii="Arial Narrow" w:hAnsi="Arial Narrow" w:cs="Times New Roman"/>
          <w:lang w:val="en-GB"/>
        </w:rPr>
      </w:pP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The Parties undertake not to disclose or allow the disclosure, directly or through an intermediary, in whole or in part, of Confidential Information to any third party, with the exception of their representatives and/or agents and,</w:t>
      </w:r>
      <w:r w:rsidR="00FE00BD" w:rsidRPr="006C614C">
        <w:rPr>
          <w:rFonts w:ascii="Arial Narrow" w:hAnsi="Arial Narrow"/>
          <w:lang w:val="en-GB"/>
        </w:rPr>
        <w:t xml:space="preserve"> for the museum</w:t>
      </w:r>
      <w:r w:rsidRPr="006C614C">
        <w:rPr>
          <w:rFonts w:ascii="Arial Narrow" w:hAnsi="Arial Narrow"/>
          <w:lang w:val="en-GB"/>
        </w:rPr>
        <w:t xml:space="preserve">, who need to know the Confidential Information for the purposes of performing the agreement. In this respect, the Parties undertake to ensure that their representatives and/or agents subscribe to this confidentiality obligation and guarantee its compliance. </w:t>
      </w: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The Parties undertake not to use the Confidential Information for any purpose other than that specified in the agreement, except where the disclosure of such Confidential Information is required by law or regulation or at the request of an administrative (tax or social security) or judicial authority with jurisdiction to request a copy thereof.</w:t>
      </w:r>
    </w:p>
    <w:p w:rsidR="005B3DFD" w:rsidRPr="006C614C" w:rsidRDefault="005B3DFD" w:rsidP="006C614C">
      <w:pPr>
        <w:spacing w:line="276" w:lineRule="auto"/>
        <w:jc w:val="both"/>
        <w:rPr>
          <w:rFonts w:ascii="Arial Narrow" w:hAnsi="Arial Narrow"/>
          <w:lang w:val="en-GB"/>
        </w:rPr>
      </w:pP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Each Party undertakes to take all necessary measures, at least equivalent to those it would take to protect its own Confidential Information, to ensure the confidentiality, security, and integrity of the other Party's Confidential Information.</w:t>
      </w:r>
    </w:p>
    <w:p w:rsidR="005B3DFD" w:rsidRPr="006C614C" w:rsidRDefault="005B3DFD" w:rsidP="006C614C">
      <w:pPr>
        <w:spacing w:line="276" w:lineRule="auto"/>
        <w:jc w:val="both"/>
        <w:rPr>
          <w:rFonts w:ascii="Arial Narrow" w:hAnsi="Arial Narrow"/>
          <w:lang w:val="en-GB"/>
        </w:rPr>
      </w:pP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lastRenderedPageBreak/>
        <w:t>The Parties undertake to return or destroy, upon first request, all documents or other media containing Confidential Information belonging to the other Party that may have been provided in connection with the performance of the agreement, as well as all reproductions thereof.</w:t>
      </w:r>
    </w:p>
    <w:p w:rsidR="005B3DFD" w:rsidRPr="006C614C" w:rsidRDefault="005B3DFD" w:rsidP="006C614C">
      <w:pPr>
        <w:spacing w:line="276" w:lineRule="auto"/>
        <w:jc w:val="both"/>
        <w:rPr>
          <w:rFonts w:ascii="Arial Narrow" w:hAnsi="Arial Narrow"/>
          <w:lang w:val="en-GB"/>
        </w:rPr>
      </w:pP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 xml:space="preserve">The following information shall not be considered Confidential Information: </w:t>
      </w: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 xml:space="preserve">-    information that has entered the public domain other than through a breach of the confidentiality obligation; </w:t>
      </w: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 xml:space="preserve">-    information that one of the Parties has agreed in writing to be freely communicated or used by the other Party; </w:t>
      </w: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    information that is already lawfully known to the Parties prior to the conclusion of this agreement.</w:t>
      </w:r>
    </w:p>
    <w:p w:rsidR="005B3DFD" w:rsidRPr="006C614C" w:rsidRDefault="005B3DFD" w:rsidP="006C614C">
      <w:pPr>
        <w:spacing w:line="276" w:lineRule="auto"/>
        <w:jc w:val="both"/>
        <w:rPr>
          <w:rFonts w:ascii="Arial Narrow" w:hAnsi="Arial Narrow"/>
          <w:lang w:val="en-GB"/>
        </w:rPr>
      </w:pPr>
    </w:p>
    <w:p w:rsidR="005B3DFD" w:rsidRPr="006C614C" w:rsidRDefault="005B3DFD" w:rsidP="006C614C">
      <w:pPr>
        <w:spacing w:line="276" w:lineRule="auto"/>
        <w:jc w:val="both"/>
        <w:rPr>
          <w:rFonts w:ascii="Arial Narrow" w:hAnsi="Arial Narrow"/>
          <w:lang w:val="en-GB"/>
        </w:rPr>
      </w:pPr>
      <w:r w:rsidRPr="006C614C">
        <w:rPr>
          <w:rFonts w:ascii="Arial Narrow" w:hAnsi="Arial Narrow"/>
          <w:lang w:val="en-GB"/>
        </w:rPr>
        <w:t>This confidentiality obligation shall remain in force for a period of 3 (three) years from the end or termination of the agreement.</w:t>
      </w:r>
    </w:p>
    <w:p w:rsidR="005B3DFD" w:rsidRPr="006C614C" w:rsidRDefault="005B3DFD" w:rsidP="006C614C">
      <w:pPr>
        <w:jc w:val="both"/>
        <w:rPr>
          <w:rFonts w:ascii="Arial Narrow" w:hAnsi="Arial Narrow" w:cs="Times New Roman"/>
          <w:lang w:val="en-GB"/>
        </w:rPr>
      </w:pPr>
    </w:p>
    <w:p w:rsidR="005B3DFD" w:rsidRDefault="005B3DFD" w:rsidP="006C614C">
      <w:pPr>
        <w:jc w:val="both"/>
        <w:rPr>
          <w:rFonts w:ascii="Arial Narrow" w:hAnsi="Arial Narrow"/>
          <w:lang w:val="en-US"/>
        </w:rPr>
      </w:pPr>
    </w:p>
    <w:p w:rsidR="006C614C" w:rsidRDefault="006C614C" w:rsidP="006C614C">
      <w:pPr>
        <w:jc w:val="both"/>
        <w:rPr>
          <w:rFonts w:ascii="Arial Narrow" w:hAnsi="Arial Narrow"/>
          <w:lang w:val="en-US"/>
        </w:rPr>
      </w:pPr>
    </w:p>
    <w:p w:rsidR="006C614C" w:rsidRDefault="006C614C" w:rsidP="006C614C">
      <w:pPr>
        <w:jc w:val="center"/>
        <w:rPr>
          <w:rFonts w:ascii="Arial Narrow" w:hAnsi="Arial Narrow"/>
          <w:b/>
          <w:sz w:val="28"/>
          <w:szCs w:val="28"/>
          <w:u w:val="single"/>
          <w:lang w:val="en-US"/>
        </w:rPr>
      </w:pPr>
      <w:r w:rsidRPr="006C614C">
        <w:rPr>
          <w:rFonts w:ascii="Arial Narrow" w:hAnsi="Arial Narrow"/>
          <w:b/>
          <w:sz w:val="28"/>
          <w:szCs w:val="28"/>
          <w:u w:val="single"/>
          <w:lang w:val="en-US"/>
        </w:rPr>
        <w:t>TRADUCTION DU FRANCAIS VERS L’ANGLAIS</w:t>
      </w:r>
    </w:p>
    <w:p w:rsidR="006C614C" w:rsidRDefault="006C614C" w:rsidP="006C614C">
      <w:pPr>
        <w:jc w:val="center"/>
        <w:rPr>
          <w:rFonts w:ascii="Arial Narrow" w:hAnsi="Arial Narrow"/>
          <w:b/>
          <w:sz w:val="28"/>
          <w:szCs w:val="28"/>
          <w:u w:val="single"/>
          <w:lang w:val="en-US"/>
        </w:rPr>
      </w:pPr>
    </w:p>
    <w:p w:rsidR="006C614C" w:rsidRPr="006C614C" w:rsidRDefault="006C614C" w:rsidP="006C614C">
      <w:pPr>
        <w:pStyle w:val="Paragraphedeliste"/>
        <w:numPr>
          <w:ilvl w:val="0"/>
          <w:numId w:val="5"/>
        </w:numPr>
        <w:jc w:val="both"/>
        <w:rPr>
          <w:rFonts w:ascii="Arial Narrow" w:hAnsi="Arial Narrow"/>
          <w:i/>
          <w:iCs/>
          <w:szCs w:val="28"/>
        </w:rPr>
      </w:pPr>
      <w:r w:rsidRPr="006C614C">
        <w:rPr>
          <w:rFonts w:ascii="Arial Narrow" w:hAnsi="Arial Narrow"/>
          <w:b/>
          <w:bCs/>
          <w:szCs w:val="28"/>
          <w:u w:val="single"/>
        </w:rPr>
        <w:t>ARTICLE 6.2</w:t>
      </w:r>
      <w:r>
        <w:rPr>
          <w:rFonts w:ascii="Arial Narrow" w:hAnsi="Arial Narrow"/>
          <w:szCs w:val="28"/>
        </w:rPr>
        <w:t xml:space="preserve"> : </w:t>
      </w:r>
    </w:p>
    <w:p w:rsidR="006C614C" w:rsidRDefault="006C614C" w:rsidP="006C614C">
      <w:pPr>
        <w:jc w:val="both"/>
        <w:rPr>
          <w:rFonts w:ascii="Arial Narrow" w:hAnsi="Arial Narrow"/>
          <w:szCs w:val="28"/>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szCs w:val="28"/>
        </w:rPr>
        <w:t> </w:t>
      </w:r>
      <w:r w:rsidRPr="006C614C">
        <w:rPr>
          <w:rFonts w:ascii="Arial Narrow" w:hAnsi="Arial Narrow"/>
          <w:iCs/>
          <w:szCs w:val="28"/>
        </w:rPr>
        <w:t>Les Parties sont d’accord pour fournir un nombre égal de membres qualifiés de convoyeurs pour assurer le transfert entre les étapes le cas échéant. Les convoiements du Museum X devraient idéalement être assurés par les deux restaurateurs du musée ou autres employés qualifiés.</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numPr>
          <w:ilvl w:val="1"/>
          <w:numId w:val="7"/>
        </w:numPr>
        <w:spacing w:line="276" w:lineRule="auto"/>
        <w:jc w:val="both"/>
        <w:rPr>
          <w:rFonts w:ascii="Arial Narrow" w:hAnsi="Arial Narrow"/>
          <w:iCs/>
          <w:szCs w:val="28"/>
        </w:rPr>
      </w:pPr>
      <w:r w:rsidRPr="006C614C">
        <w:rPr>
          <w:rFonts w:ascii="Arial Narrow" w:hAnsi="Arial Narrow"/>
          <w:iCs/>
          <w:szCs w:val="28"/>
        </w:rPr>
        <w:t xml:space="preserve">Les frais de transport et de séjour, y compris les frais de déplacement de et vers les aéroports pour l’ensemble des convoiements liés à l’ouverture et à la fermeture de l’Exposition au </w:t>
      </w:r>
      <w:proofErr w:type="spellStart"/>
      <w:r w:rsidRPr="006C614C">
        <w:rPr>
          <w:rFonts w:ascii="Arial Narrow" w:hAnsi="Arial Narrow"/>
          <w:iCs/>
          <w:szCs w:val="28"/>
        </w:rPr>
        <w:t>museum</w:t>
      </w:r>
      <w:proofErr w:type="spellEnd"/>
      <w:r w:rsidRPr="006C614C">
        <w:rPr>
          <w:rFonts w:ascii="Arial Narrow" w:hAnsi="Arial Narrow"/>
          <w:iCs/>
          <w:szCs w:val="28"/>
        </w:rPr>
        <w:t xml:space="preserve"> seront à la charge exclusive du </w:t>
      </w:r>
      <w:proofErr w:type="spellStart"/>
      <w:r w:rsidRPr="006C614C">
        <w:rPr>
          <w:rFonts w:ascii="Arial Narrow" w:hAnsi="Arial Narrow"/>
          <w:iCs/>
          <w:szCs w:val="28"/>
        </w:rPr>
        <w:t>museum</w:t>
      </w:r>
      <w:proofErr w:type="spellEnd"/>
      <w:r w:rsidRPr="006C614C">
        <w:rPr>
          <w:rFonts w:ascii="Arial Narrow" w:hAnsi="Arial Narrow"/>
          <w:iCs/>
          <w:szCs w:val="28"/>
        </w:rPr>
        <w:t xml:space="preserve">. </w:t>
      </w: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t xml:space="preserve">Ces frais seront à la charge exclusive du </w:t>
      </w:r>
      <w:proofErr w:type="spellStart"/>
      <w:r w:rsidRPr="006C614C">
        <w:rPr>
          <w:rFonts w:ascii="Arial Narrow" w:hAnsi="Arial Narrow"/>
          <w:iCs/>
          <w:szCs w:val="28"/>
        </w:rPr>
        <w:t>museum</w:t>
      </w:r>
      <w:proofErr w:type="spellEnd"/>
      <w:r w:rsidRPr="006C614C">
        <w:rPr>
          <w:rFonts w:ascii="Arial Narrow" w:hAnsi="Arial Narrow"/>
          <w:iCs/>
          <w:szCs w:val="28"/>
        </w:rPr>
        <w:t xml:space="preserve"> dans les conditions précitées et les Parties feront leur possible pour s’accorder selon les termes suivants :</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numPr>
          <w:ilvl w:val="1"/>
          <w:numId w:val="2"/>
        </w:numPr>
        <w:spacing w:line="276" w:lineRule="auto"/>
        <w:jc w:val="both"/>
        <w:rPr>
          <w:rFonts w:ascii="Arial Narrow" w:hAnsi="Arial Narrow"/>
          <w:iCs/>
          <w:szCs w:val="28"/>
        </w:rPr>
      </w:pPr>
      <w:proofErr w:type="gramStart"/>
      <w:r w:rsidRPr="006C614C">
        <w:rPr>
          <w:rFonts w:ascii="Arial Narrow" w:hAnsi="Arial Narrow"/>
          <w:iCs/>
          <w:szCs w:val="28"/>
        </w:rPr>
        <w:t>les</w:t>
      </w:r>
      <w:proofErr w:type="gramEnd"/>
      <w:r w:rsidRPr="006C614C">
        <w:rPr>
          <w:rFonts w:ascii="Arial Narrow" w:hAnsi="Arial Narrow"/>
          <w:iCs/>
          <w:szCs w:val="28"/>
        </w:rPr>
        <w:t xml:space="preserve"> trajets entre chaque étape en convoiement des Œuvres Prêtées en se feront en deux (2) convois composés de plusieurs camions, leur nombre et les modalités de transport dépendant des exigences et du plafond d’assurance imposés par l’assureur de l’exposition. Chaque convoi devra être accompagné par un convoyeur du Museum X ou du </w:t>
      </w:r>
      <w:proofErr w:type="spellStart"/>
      <w:r w:rsidRPr="006C614C">
        <w:rPr>
          <w:rFonts w:ascii="Arial Narrow" w:hAnsi="Arial Narrow"/>
          <w:iCs/>
          <w:szCs w:val="28"/>
        </w:rPr>
        <w:t>museum</w:t>
      </w:r>
      <w:proofErr w:type="spellEnd"/>
      <w:r w:rsidRPr="006C614C">
        <w:rPr>
          <w:rFonts w:ascii="Arial Narrow" w:hAnsi="Arial Narrow"/>
          <w:iCs/>
          <w:szCs w:val="28"/>
        </w:rPr>
        <w:t>. Lorsque le convoyeur n’accompagne pas les Œuvres Prêtées, son trajet se fera en train ou en avion 2</w:t>
      </w:r>
      <w:r w:rsidRPr="006C614C">
        <w:rPr>
          <w:rFonts w:ascii="Arial Narrow" w:hAnsi="Arial Narrow"/>
          <w:iCs/>
          <w:szCs w:val="28"/>
          <w:vertAlign w:val="superscript"/>
        </w:rPr>
        <w:t>nde</w:t>
      </w:r>
      <w:r w:rsidRPr="006C614C">
        <w:rPr>
          <w:rFonts w:ascii="Arial Narrow" w:hAnsi="Arial Narrow"/>
          <w:iCs/>
          <w:szCs w:val="28"/>
        </w:rPr>
        <w:t xml:space="preserve"> classe ;</w:t>
      </w:r>
    </w:p>
    <w:p w:rsidR="006C614C" w:rsidRPr="006C614C" w:rsidRDefault="006C614C" w:rsidP="006C614C">
      <w:pPr>
        <w:numPr>
          <w:ilvl w:val="1"/>
          <w:numId w:val="2"/>
        </w:numPr>
        <w:spacing w:line="276" w:lineRule="auto"/>
        <w:jc w:val="both"/>
        <w:rPr>
          <w:rFonts w:ascii="Arial Narrow" w:hAnsi="Arial Narrow"/>
          <w:iCs/>
          <w:szCs w:val="28"/>
        </w:rPr>
      </w:pPr>
      <w:r w:rsidRPr="006C614C">
        <w:rPr>
          <w:rFonts w:ascii="Arial Narrow" w:hAnsi="Arial Narrow"/>
          <w:iCs/>
          <w:szCs w:val="28"/>
        </w:rPr>
        <w:t>Chaque personne bénéficie d’une allocation journalière de 75€ par jour ;</w:t>
      </w:r>
    </w:p>
    <w:p w:rsidR="006C614C" w:rsidRPr="006C614C" w:rsidRDefault="006C614C" w:rsidP="006C614C">
      <w:pPr>
        <w:numPr>
          <w:ilvl w:val="1"/>
          <w:numId w:val="2"/>
        </w:numPr>
        <w:spacing w:line="276" w:lineRule="auto"/>
        <w:jc w:val="both"/>
        <w:rPr>
          <w:rFonts w:ascii="Arial Narrow" w:hAnsi="Arial Narrow"/>
          <w:iCs/>
          <w:szCs w:val="28"/>
        </w:rPr>
      </w:pPr>
      <w:r w:rsidRPr="006C614C">
        <w:rPr>
          <w:rFonts w:ascii="Arial Narrow" w:hAnsi="Arial Narrow"/>
          <w:iCs/>
          <w:szCs w:val="28"/>
        </w:rPr>
        <w:t xml:space="preserve">Chaque personne bénéficie d’une chambre d’hôtel de catégorie trois étoiles ou équivalente (à proximité ou facilement accessible du lieu de l’Exposition), avec petit déjeuner, services et taxes y afférents. </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t xml:space="preserve">En cas de transport par camion, les frais d’hôtel, de repas et de route pendant la durée du voyage seront à la charge du </w:t>
      </w:r>
      <w:proofErr w:type="spellStart"/>
      <w:r w:rsidRPr="006C614C">
        <w:rPr>
          <w:rFonts w:ascii="Arial Narrow" w:hAnsi="Arial Narrow"/>
          <w:iCs/>
          <w:szCs w:val="28"/>
        </w:rPr>
        <w:t>museum</w:t>
      </w:r>
      <w:proofErr w:type="spellEnd"/>
      <w:r w:rsidRPr="006C614C">
        <w:rPr>
          <w:rFonts w:ascii="Arial Narrow" w:hAnsi="Arial Narrow"/>
          <w:iCs/>
          <w:szCs w:val="28"/>
        </w:rPr>
        <w:t xml:space="preserve"> selon les conditions précitées compte tenu de l’objet du convoiement. </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spacing w:line="276" w:lineRule="auto"/>
        <w:jc w:val="both"/>
        <w:rPr>
          <w:rFonts w:ascii="Arial Narrow" w:hAnsi="Arial Narrow"/>
          <w:szCs w:val="28"/>
        </w:rPr>
      </w:pPr>
      <w:r w:rsidRPr="006C614C">
        <w:rPr>
          <w:rFonts w:ascii="Arial Narrow" w:hAnsi="Arial Narrow"/>
          <w:iCs/>
          <w:szCs w:val="28"/>
        </w:rPr>
        <w:t>Les Parties font leur possible pour avoir un minimum de convoyeurs en tenant compte des exigences du transport d’art, et avec, si possible, pas plus d’un convoyeur par transport</w:t>
      </w:r>
      <w:r w:rsidRPr="006C614C">
        <w:rPr>
          <w:rFonts w:ascii="Arial Narrow" w:hAnsi="Arial Narrow"/>
          <w:szCs w:val="28"/>
        </w:rPr>
        <w:t>. »</w:t>
      </w:r>
    </w:p>
    <w:p w:rsidR="006C614C" w:rsidRPr="006C614C" w:rsidRDefault="006C614C" w:rsidP="006C614C">
      <w:pPr>
        <w:spacing w:line="276" w:lineRule="auto"/>
        <w:jc w:val="both"/>
        <w:rPr>
          <w:rFonts w:ascii="Arial Narrow" w:hAnsi="Arial Narrow"/>
          <w:szCs w:val="28"/>
        </w:rPr>
      </w:pPr>
    </w:p>
    <w:p w:rsidR="006C614C" w:rsidRPr="006C614C" w:rsidRDefault="006C614C" w:rsidP="006C614C">
      <w:pPr>
        <w:pStyle w:val="Paragraphedeliste"/>
        <w:numPr>
          <w:ilvl w:val="0"/>
          <w:numId w:val="5"/>
        </w:numPr>
        <w:spacing w:line="276" w:lineRule="auto"/>
        <w:jc w:val="both"/>
        <w:rPr>
          <w:rFonts w:ascii="Arial Narrow" w:hAnsi="Arial Narrow"/>
          <w:b/>
          <w:bCs/>
          <w:szCs w:val="28"/>
        </w:rPr>
      </w:pPr>
      <w:r w:rsidRPr="006C614C">
        <w:rPr>
          <w:rFonts w:ascii="Arial Narrow" w:hAnsi="Arial Narrow"/>
          <w:b/>
          <w:bCs/>
          <w:szCs w:val="28"/>
          <w:u w:val="single"/>
        </w:rPr>
        <w:t xml:space="preserve">ARTICLE 7 - </w:t>
      </w:r>
      <w:bookmarkStart w:id="1" w:name="_Ref133310222"/>
      <w:r w:rsidRPr="006C614C">
        <w:rPr>
          <w:rFonts w:ascii="Arial Narrow" w:hAnsi="Arial Narrow"/>
          <w:b/>
          <w:bCs/>
          <w:szCs w:val="28"/>
          <w:u w:val="single"/>
        </w:rPr>
        <w:t xml:space="preserve">ASSURANCE </w:t>
      </w:r>
      <w:bookmarkEnd w:id="1"/>
      <w:r w:rsidRPr="006C614C">
        <w:rPr>
          <w:rFonts w:ascii="Arial Narrow" w:hAnsi="Arial Narrow"/>
          <w:b/>
          <w:bCs/>
          <w:szCs w:val="28"/>
          <w:u w:val="single"/>
        </w:rPr>
        <w:t>COMMERCIALE ET / INSAISISSABILITE</w:t>
      </w:r>
      <w:r>
        <w:rPr>
          <w:rFonts w:ascii="Arial Narrow" w:hAnsi="Arial Narrow"/>
          <w:b/>
          <w:bCs/>
          <w:szCs w:val="28"/>
        </w:rPr>
        <w:t> :</w:t>
      </w:r>
    </w:p>
    <w:p w:rsidR="006C614C" w:rsidRPr="006C614C" w:rsidRDefault="006C614C" w:rsidP="006C614C">
      <w:pPr>
        <w:spacing w:line="276" w:lineRule="auto"/>
        <w:jc w:val="both"/>
        <w:rPr>
          <w:rFonts w:ascii="Arial Narrow" w:hAnsi="Arial Narrow"/>
          <w:b/>
          <w:bCs/>
          <w:szCs w:val="28"/>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szCs w:val="28"/>
        </w:rPr>
        <w:t>« </w:t>
      </w:r>
      <w:r w:rsidRPr="006C614C">
        <w:rPr>
          <w:rFonts w:ascii="Arial Narrow" w:hAnsi="Arial Narrow"/>
          <w:iCs/>
          <w:szCs w:val="28"/>
        </w:rPr>
        <w:t xml:space="preserve">Le présent article fixe les obligations incombant au </w:t>
      </w:r>
      <w:proofErr w:type="spellStart"/>
      <w:r w:rsidRPr="006C614C">
        <w:rPr>
          <w:rFonts w:ascii="Arial Narrow" w:hAnsi="Arial Narrow"/>
          <w:iCs/>
          <w:szCs w:val="28"/>
        </w:rPr>
        <w:t>museum</w:t>
      </w:r>
      <w:proofErr w:type="spellEnd"/>
      <w:r w:rsidRPr="006C614C">
        <w:rPr>
          <w:rFonts w:ascii="Arial Narrow" w:hAnsi="Arial Narrow"/>
          <w:iCs/>
          <w:szCs w:val="28"/>
        </w:rPr>
        <w:t xml:space="preserve"> en matière d’assurance des Œuvres Prêtées.</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lastRenderedPageBreak/>
        <w:t xml:space="preserve">Il est rappelé que les contrats avec les courtiers d’assurances et/ou les compagnies d’assurance du </w:t>
      </w:r>
      <w:proofErr w:type="spellStart"/>
      <w:r w:rsidRPr="006C614C">
        <w:rPr>
          <w:rFonts w:ascii="Arial Narrow" w:hAnsi="Arial Narrow"/>
          <w:iCs/>
          <w:szCs w:val="28"/>
        </w:rPr>
        <w:t>museum</w:t>
      </w:r>
      <w:proofErr w:type="spellEnd"/>
      <w:r w:rsidRPr="006C614C">
        <w:rPr>
          <w:rFonts w:ascii="Arial Narrow" w:hAnsi="Arial Narrow"/>
          <w:iCs/>
          <w:szCs w:val="28"/>
        </w:rPr>
        <w:t xml:space="preserve"> sont passés selon les règles de publicité et de mise en concurrence applicables en la matière conformément aux dispositions législatives ou réglementaires, nationales et/ou communautaires en vigueur.</w:t>
      </w: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t xml:space="preserve">Toutefois, en dépit de l’article 2 du Contrat de Prêt séparé, le Museum X exige que l’assurance des Œuvres Prêtées soit couverte par son assureur privilégié, via son courtier en assurance XXX pour toutes les œuvres lui appartenant ; à titre dérogatoire, 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pourra accéder à cette demande dans la mesure où cet assureur, XXX, lui proposera des conditions financières n’excédant pas fortement à celles de son prestataire. </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t xml:space="preserve">A cette fin, le Museum X transmettra au plus tard huit (8) mois avant l’ouverture de l’Exposition la police d’assurance de XXX. Le Museum X accepte de faire ses meilleurs efforts pour aider 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à négocier la prime la plus avantageuse avec ledit assureur.</w:t>
      </w:r>
    </w:p>
    <w:p w:rsidR="006C614C" w:rsidRPr="006C614C" w:rsidRDefault="006C614C" w:rsidP="006C614C">
      <w:pPr>
        <w:spacing w:line="276" w:lineRule="auto"/>
        <w:jc w:val="both"/>
        <w:rPr>
          <w:rFonts w:ascii="Arial Narrow" w:hAnsi="Arial Narrow"/>
          <w:szCs w:val="28"/>
        </w:rPr>
      </w:pPr>
      <w:r w:rsidRPr="006C614C">
        <w:rPr>
          <w:rFonts w:ascii="Arial Narrow" w:hAnsi="Arial Narrow"/>
          <w:iCs/>
          <w:szCs w:val="28"/>
        </w:rPr>
        <w:t xml:space="preserve">Pour les 13 œuvres prêtées appartenant à la famille X, telles que listées à l’annexe B, il est entendu que 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pourra les couvrir sous sa propre couverture d’assurance avec XX</w:t>
      </w:r>
      <w:r w:rsidRPr="006C614C">
        <w:rPr>
          <w:rFonts w:ascii="Arial Narrow" w:hAnsi="Arial Narrow"/>
          <w:szCs w:val="28"/>
        </w:rPr>
        <w:t>. »</w:t>
      </w:r>
    </w:p>
    <w:p w:rsidR="006C614C" w:rsidRPr="006C614C" w:rsidRDefault="006C614C" w:rsidP="006C614C">
      <w:pPr>
        <w:spacing w:line="276" w:lineRule="auto"/>
        <w:jc w:val="both"/>
        <w:rPr>
          <w:rFonts w:ascii="Arial Narrow" w:hAnsi="Arial Narrow"/>
          <w:szCs w:val="28"/>
        </w:rPr>
      </w:pPr>
    </w:p>
    <w:p w:rsidR="006C614C" w:rsidRPr="006C614C" w:rsidRDefault="006C614C" w:rsidP="006C614C">
      <w:pPr>
        <w:pStyle w:val="Paragraphedeliste"/>
        <w:numPr>
          <w:ilvl w:val="0"/>
          <w:numId w:val="5"/>
        </w:numPr>
        <w:spacing w:line="276" w:lineRule="auto"/>
        <w:jc w:val="both"/>
        <w:rPr>
          <w:rFonts w:ascii="Arial Narrow" w:hAnsi="Arial Narrow"/>
          <w:b/>
          <w:bCs/>
          <w:szCs w:val="28"/>
        </w:rPr>
      </w:pPr>
      <w:r w:rsidRPr="006C614C">
        <w:rPr>
          <w:rFonts w:ascii="Arial Narrow" w:hAnsi="Arial Narrow"/>
          <w:b/>
          <w:bCs/>
          <w:szCs w:val="28"/>
          <w:u w:val="single"/>
        </w:rPr>
        <w:t>ARTICLE 11 </w:t>
      </w:r>
      <w:r w:rsidRPr="006C614C">
        <w:rPr>
          <w:rFonts w:ascii="Arial Narrow" w:hAnsi="Arial Narrow"/>
          <w:szCs w:val="28"/>
          <w:u w:val="single"/>
        </w:rPr>
        <w:t xml:space="preserve">- </w:t>
      </w:r>
      <w:r w:rsidRPr="006C614C">
        <w:rPr>
          <w:rFonts w:ascii="Arial Narrow" w:hAnsi="Arial Narrow"/>
          <w:b/>
          <w:bCs/>
          <w:szCs w:val="28"/>
          <w:u w:val="single"/>
        </w:rPr>
        <w:t> CAPTATIONS</w:t>
      </w:r>
      <w:r w:rsidRPr="006C614C">
        <w:rPr>
          <w:rFonts w:ascii="Arial Narrow" w:hAnsi="Arial Narrow"/>
          <w:b/>
          <w:bCs/>
          <w:szCs w:val="28"/>
        </w:rPr>
        <w:t> :</w:t>
      </w:r>
    </w:p>
    <w:p w:rsidR="006C614C" w:rsidRPr="006C614C" w:rsidRDefault="006C614C" w:rsidP="006C614C">
      <w:pPr>
        <w:pStyle w:val="Index"/>
        <w:snapToGrid/>
        <w:spacing w:line="276" w:lineRule="auto"/>
        <w:rPr>
          <w:rFonts w:ascii="Arial Narrow" w:hAnsi="Arial Narrow" w:cs="Calibri"/>
          <w:szCs w:val="28"/>
          <w:lang w:eastAsia="en-US"/>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szCs w:val="28"/>
        </w:rPr>
        <w:t>« </w:t>
      </w:r>
      <w:r w:rsidRPr="006C614C">
        <w:rPr>
          <w:rFonts w:ascii="Arial Narrow" w:hAnsi="Arial Narrow"/>
          <w:iCs/>
          <w:szCs w:val="28"/>
        </w:rPr>
        <w:t xml:space="preserve">Sous réserve d'éventuels droits de propriété intellectuelle relatifs aux Œuvres Prêtées qui ne tomberaient pas dans le domaine public et pour lesquels 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est responsable de l'obtention des autorisations nécessaires et des éventuels coûts afférents, 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pourra prendre ou faire prendre des captations photographiques, audiovisuelles et/ou sonores durant l’installation de l’Exposition et durant toute la durée de l’Exposition. À ce titre, 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pourra notamment filmer l’Exposition, y compris les vues de gros plan des Œuvres, les vues de l’installation des Œuvres ainsi que certaines activités liées à la préparation et à l’installation de l’Exposition pour la télévision aux fins de promotion de l’Exposition et à des fins non commerciales.  La diffusion des captations prises à ces occasions sera strictement limitée à la période de l'Exposition.  Toutefois, afin d'assurer la promotion de l'Exposition, les captations pourront être diffusées avant l'ouverture de l'Exposition.</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t xml:space="preserve">Ces captations pourront être reproduites et représentées par 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sur tout support (notamment numérique, informatique, électronique, optique, magnétique, papier, Internet, intranet, téléphonie mobile, tablettes…) dans le strict cadre de la promotion autour des activités et des expositions du </w:t>
      </w:r>
      <w:proofErr w:type="spellStart"/>
      <w:r w:rsidRPr="006C614C">
        <w:rPr>
          <w:rFonts w:ascii="Arial Narrow" w:hAnsi="Arial Narrow"/>
          <w:iCs/>
          <w:szCs w:val="28"/>
        </w:rPr>
        <w:t>museum</w:t>
      </w:r>
      <w:proofErr w:type="spellEnd"/>
      <w:r w:rsidRPr="006C614C">
        <w:rPr>
          <w:rFonts w:ascii="Arial Narrow" w:hAnsi="Arial Narrow"/>
          <w:iCs/>
          <w:szCs w:val="28"/>
        </w:rPr>
        <w:t xml:space="preserve"> et à titre d’archivage.  Toute autre utilisation de ces captations est strictement interdite. </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t>En tout état de cause, le Prêteur autorise que les Œuvres soient photographiées, filmées et enregistrées par la presse à des fins promotionnelles et d’actualité, et par les visiteurs (sans flash) pour un usage personnel non commercial.</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t xml:space="preserve">Il est précisé que les visiteurs de l’Exposition sont autorisés à photographier et à filmer l’Exposition et les Œuvres Prêtées à condition de ne pas utiliser le flash et pour un usage strictement personnel et non commercial. </w:t>
      </w:r>
    </w:p>
    <w:p w:rsidR="006C614C" w:rsidRPr="006C614C" w:rsidRDefault="006C614C" w:rsidP="006C614C">
      <w:pPr>
        <w:spacing w:line="276" w:lineRule="auto"/>
        <w:jc w:val="both"/>
        <w:rPr>
          <w:rFonts w:ascii="Arial Narrow" w:hAnsi="Arial Narrow"/>
          <w:iCs/>
          <w:szCs w:val="28"/>
        </w:rPr>
      </w:pPr>
      <w:r w:rsidRPr="006C614C">
        <w:rPr>
          <w:rFonts w:ascii="Arial Narrow" w:hAnsi="Arial Narrow"/>
          <w:iCs/>
          <w:szCs w:val="28"/>
        </w:rPr>
        <w:t xml:space="preserve">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garantit le Prêteur contre tout trouble ou recours et s’engage, au titre de ces captations, au strict respect des règles en termes de droit à l’image et de propriété intellectuelle. </w:t>
      </w:r>
    </w:p>
    <w:p w:rsidR="006C614C" w:rsidRPr="006C614C" w:rsidRDefault="006C614C" w:rsidP="006C614C">
      <w:pPr>
        <w:spacing w:line="276" w:lineRule="auto"/>
        <w:jc w:val="both"/>
        <w:rPr>
          <w:rFonts w:ascii="Arial Narrow" w:hAnsi="Arial Narrow"/>
          <w:iCs/>
          <w:szCs w:val="28"/>
        </w:rPr>
      </w:pPr>
    </w:p>
    <w:p w:rsidR="006C614C" w:rsidRPr="006C614C" w:rsidRDefault="006C614C" w:rsidP="006C614C">
      <w:pPr>
        <w:spacing w:line="276" w:lineRule="auto"/>
        <w:jc w:val="both"/>
        <w:rPr>
          <w:rFonts w:ascii="Arial Narrow" w:hAnsi="Arial Narrow"/>
          <w:szCs w:val="28"/>
        </w:rPr>
      </w:pPr>
      <w:r w:rsidRPr="006C614C">
        <w:rPr>
          <w:rFonts w:ascii="Arial Narrow" w:hAnsi="Arial Narrow"/>
          <w:iCs/>
          <w:szCs w:val="28"/>
        </w:rPr>
        <w:t xml:space="preserve">Sur la demande du Prêteur, le </w:t>
      </w:r>
      <w:proofErr w:type="spellStart"/>
      <w:r w:rsidRPr="006C614C">
        <w:rPr>
          <w:rFonts w:ascii="Arial Narrow" w:hAnsi="Arial Narrow"/>
          <w:iCs/>
          <w:szCs w:val="28"/>
        </w:rPr>
        <w:t>museum</w:t>
      </w:r>
      <w:proofErr w:type="spellEnd"/>
      <w:r w:rsidRPr="006C614C">
        <w:rPr>
          <w:rFonts w:ascii="Arial Narrow" w:hAnsi="Arial Narrow"/>
          <w:iCs/>
          <w:szCs w:val="28"/>
        </w:rPr>
        <w:t xml:space="preserve"> fera ses meilleurs efforts pour transmettre gracieusement à ce dernier une copie des captations de l’Exposition et des Œuvres Prêtées, à des fins exclusives de promotion de l’Exposition dans la presse, sur son site Internet et ses réseaux sociaux. Le cas échéant, le Prêteur s’engage à inclure la mention des droits d'auteur du </w:t>
      </w:r>
      <w:proofErr w:type="spellStart"/>
      <w:r w:rsidRPr="006C614C">
        <w:rPr>
          <w:rFonts w:ascii="Arial Narrow" w:hAnsi="Arial Narrow"/>
          <w:iCs/>
          <w:szCs w:val="28"/>
        </w:rPr>
        <w:t>museum</w:t>
      </w:r>
      <w:proofErr w:type="spellEnd"/>
      <w:r w:rsidRPr="006C614C">
        <w:rPr>
          <w:rFonts w:ascii="Arial Narrow" w:hAnsi="Arial Narrow"/>
          <w:iCs/>
          <w:szCs w:val="28"/>
        </w:rPr>
        <w:t xml:space="preserve"> et/ou de ses agents, et sera responsable de l'obtention de toutes les autorisations nécessaires auprès des détenteurs de droits et supportera le coût de toute compensation associée</w:t>
      </w:r>
      <w:r w:rsidRPr="006C614C">
        <w:rPr>
          <w:rFonts w:ascii="Arial Narrow" w:hAnsi="Arial Narrow"/>
          <w:szCs w:val="28"/>
        </w:rPr>
        <w:t>. »</w:t>
      </w:r>
    </w:p>
    <w:p w:rsidR="006C614C" w:rsidRPr="006C614C" w:rsidRDefault="006C614C" w:rsidP="006C614C">
      <w:pPr>
        <w:spacing w:line="276" w:lineRule="auto"/>
        <w:jc w:val="both"/>
        <w:rPr>
          <w:rFonts w:ascii="Arial Narrow" w:hAnsi="Arial Narrow"/>
          <w:szCs w:val="28"/>
        </w:rPr>
      </w:pPr>
    </w:p>
    <w:p w:rsidR="006C614C" w:rsidRPr="006C614C" w:rsidRDefault="006C614C" w:rsidP="006C614C">
      <w:pPr>
        <w:pStyle w:val="Index"/>
        <w:snapToGrid/>
        <w:spacing w:line="276" w:lineRule="auto"/>
        <w:jc w:val="center"/>
        <w:rPr>
          <w:rFonts w:ascii="Arial Narrow" w:hAnsi="Arial Narrow" w:cs="Calibri"/>
          <w:b/>
          <w:szCs w:val="28"/>
          <w:lang w:val="en-US" w:eastAsia="en-US"/>
        </w:rPr>
      </w:pPr>
      <w:bookmarkStart w:id="2" w:name="_GoBack"/>
      <w:bookmarkEnd w:id="2"/>
      <w:r w:rsidRPr="006C614C">
        <w:rPr>
          <w:rFonts w:ascii="Arial Narrow" w:hAnsi="Arial Narrow" w:cs="Calibri"/>
          <w:b/>
          <w:szCs w:val="28"/>
          <w:lang w:eastAsia="en-US"/>
        </w:rPr>
        <w:t>***</w:t>
      </w:r>
    </w:p>
    <w:sectPr w:rsidR="006C614C" w:rsidRPr="006C61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00775"/>
    <w:multiLevelType w:val="hybridMultilevel"/>
    <w:tmpl w:val="36245D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1561274"/>
    <w:multiLevelType w:val="hybridMultilevel"/>
    <w:tmpl w:val="70DC3B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373242"/>
    <w:multiLevelType w:val="multilevel"/>
    <w:tmpl w:val="638660D0"/>
    <w:lvl w:ilvl="0">
      <w:start w:val="1"/>
      <w:numFmt w:val="decimal"/>
      <w:pStyle w:val="Titre1"/>
      <w:suff w:val="nothing"/>
      <w:lvlText w:val="Article %1:"/>
      <w:lvlJc w:val="left"/>
      <w:pPr>
        <w:ind w:left="1620" w:hanging="720"/>
      </w:pPr>
      <w:rPr>
        <w:rFonts w:ascii="Times New Roman" w:hAnsi="Times New Roman" w:cs="Times New Roman" w:hint="default"/>
        <w:b w:val="0"/>
        <w:i w:val="0"/>
        <w:vanish w:val="0"/>
        <w:webHidden w:val="0"/>
        <w:sz w:val="22"/>
        <w:szCs w:val="22"/>
        <w:u w:val="single"/>
        <w:specVanish w:val="0"/>
      </w:rPr>
    </w:lvl>
    <w:lvl w:ilvl="1">
      <w:start w:val="1"/>
      <w:numFmt w:val="lowerLetter"/>
      <w:pStyle w:val="Titre2"/>
      <w:isLgl/>
      <w:lvlText w:val="%1.%2"/>
      <w:lvlJc w:val="left"/>
      <w:pPr>
        <w:tabs>
          <w:tab w:val="num" w:pos="720"/>
        </w:tabs>
        <w:ind w:left="720" w:hanging="720"/>
      </w:pPr>
      <w:rPr>
        <w:strike w:val="0"/>
        <w:dstrike w:val="0"/>
        <w:vanish w:val="0"/>
        <w:webHidden w:val="0"/>
        <w:u w:val="none"/>
        <w:effect w:val="none"/>
        <w:specVanish w:val="0"/>
      </w:rPr>
    </w:lvl>
    <w:lvl w:ilvl="2">
      <w:start w:val="1"/>
      <w:numFmt w:val="lowerLetter"/>
      <w:pStyle w:val="Titre3"/>
      <w:lvlText w:val="%3)"/>
      <w:lvlJc w:val="left"/>
      <w:pPr>
        <w:tabs>
          <w:tab w:val="num" w:pos="1440"/>
        </w:tabs>
        <w:ind w:left="1440" w:hanging="720"/>
      </w:pPr>
      <w:rPr>
        <w:rFonts w:ascii="Garamond" w:hAnsi="Garamond" w:hint="default"/>
        <w:strike w:val="0"/>
        <w:dstrike w:val="0"/>
        <w:vanish w:val="0"/>
        <w:webHidden w:val="0"/>
        <w:sz w:val="22"/>
        <w:szCs w:val="22"/>
        <w:u w:val="none"/>
        <w:effect w:val="none"/>
        <w:specVanish w:val="0"/>
      </w:rPr>
    </w:lvl>
    <w:lvl w:ilvl="3">
      <w:start w:val="1"/>
      <w:numFmt w:val="lowerLetter"/>
      <w:pStyle w:val="Titre4"/>
      <w:lvlText w:val="%4)"/>
      <w:lvlJc w:val="left"/>
      <w:pPr>
        <w:tabs>
          <w:tab w:val="num" w:pos="2880"/>
        </w:tabs>
        <w:ind w:left="2880" w:hanging="720"/>
      </w:pPr>
      <w:rPr>
        <w:strike w:val="0"/>
        <w:dstrike w:val="0"/>
        <w:vanish w:val="0"/>
        <w:webHidden w:val="0"/>
        <w:u w:val="none"/>
        <w:effect w:val="none"/>
        <w:specVanish w:val="0"/>
      </w:rPr>
    </w:lvl>
    <w:lvl w:ilvl="4">
      <w:start w:val="1"/>
      <w:numFmt w:val="lowerRoman"/>
      <w:pStyle w:val="Titre5"/>
      <w:lvlText w:val="%5)"/>
      <w:lvlJc w:val="left"/>
      <w:pPr>
        <w:tabs>
          <w:tab w:val="num" w:pos="3600"/>
        </w:tabs>
        <w:ind w:left="3600" w:hanging="720"/>
      </w:pPr>
      <w:rPr>
        <w:strike w:val="0"/>
        <w:dstrike w:val="0"/>
        <w:vanish w:val="0"/>
        <w:webHidden w:val="0"/>
        <w:u w:val="none"/>
        <w:effect w:val="none"/>
        <w:specVanish w:val="0"/>
      </w:rPr>
    </w:lvl>
    <w:lvl w:ilvl="5">
      <w:start w:val="1"/>
      <w:numFmt w:val="lowerLetter"/>
      <w:lvlRestart w:val="0"/>
      <w:pStyle w:val="Titre6"/>
      <w:lvlText w:val="(%6)"/>
      <w:lvlJc w:val="left"/>
      <w:pPr>
        <w:tabs>
          <w:tab w:val="num" w:pos="4320"/>
        </w:tabs>
        <w:ind w:left="4320" w:hanging="720"/>
      </w:pPr>
      <w:rPr>
        <w:strike w:val="0"/>
        <w:dstrike w:val="0"/>
        <w:vanish w:val="0"/>
        <w:webHidden w:val="0"/>
        <w:u w:val="none"/>
        <w:effect w:val="none"/>
        <w:specVanish w:val="0"/>
      </w:rPr>
    </w:lvl>
    <w:lvl w:ilvl="6">
      <w:start w:val="1"/>
      <w:numFmt w:val="upperRoman"/>
      <w:pStyle w:val="Titre7"/>
      <w:lvlText w:val="%7."/>
      <w:lvlJc w:val="left"/>
      <w:pPr>
        <w:tabs>
          <w:tab w:val="num" w:pos="1440"/>
        </w:tabs>
        <w:ind w:left="1440" w:hanging="720"/>
      </w:pPr>
      <w:rPr>
        <w:strike w:val="0"/>
        <w:dstrike w:val="0"/>
        <w:vanish w:val="0"/>
        <w:webHidden w:val="0"/>
        <w:u w:val="none"/>
        <w:effect w:val="none"/>
        <w:specVanish w:val="0"/>
      </w:rPr>
    </w:lvl>
    <w:lvl w:ilvl="7">
      <w:start w:val="1"/>
      <w:numFmt w:val="upperLetter"/>
      <w:pStyle w:val="Titre8"/>
      <w:lvlText w:val="%8."/>
      <w:lvlJc w:val="left"/>
      <w:pPr>
        <w:tabs>
          <w:tab w:val="num" w:pos="2160"/>
        </w:tabs>
        <w:ind w:left="2160" w:hanging="720"/>
      </w:pPr>
      <w:rPr>
        <w:strike w:val="0"/>
        <w:dstrike w:val="0"/>
        <w:vanish w:val="0"/>
        <w:webHidden w:val="0"/>
        <w:u w:val="none"/>
        <w:effect w:val="none"/>
        <w:specVanish w:val="0"/>
      </w:rPr>
    </w:lvl>
    <w:lvl w:ilvl="8">
      <w:start w:val="1"/>
      <w:numFmt w:val="decimal"/>
      <w:pStyle w:val="Titre9"/>
      <w:lvlText w:val="%9."/>
      <w:lvlJc w:val="left"/>
      <w:pPr>
        <w:tabs>
          <w:tab w:val="num" w:pos="2880"/>
        </w:tabs>
        <w:ind w:left="2880" w:hanging="720"/>
      </w:pPr>
      <w:rPr>
        <w:strike w:val="0"/>
        <w:dstrike w:val="0"/>
        <w:vanish w:val="0"/>
        <w:webHidden w:val="0"/>
        <w:u w:val="none"/>
        <w:effect w:val="none"/>
        <w:specVanish w:val="0"/>
      </w:rPr>
    </w:lvl>
  </w:abstractNum>
  <w:abstractNum w:abstractNumId="3" w15:restartNumberingAfterBreak="0">
    <w:nsid w:val="3DF657EA"/>
    <w:multiLevelType w:val="hybridMultilevel"/>
    <w:tmpl w:val="5A886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71482A"/>
    <w:multiLevelType w:val="hybridMultilevel"/>
    <w:tmpl w:val="5D120324"/>
    <w:lvl w:ilvl="0" w:tplc="9A22ABB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3113784"/>
    <w:multiLevelType w:val="hybridMultilevel"/>
    <w:tmpl w:val="89B093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19D58A5"/>
    <w:multiLevelType w:val="hybridMultilevel"/>
    <w:tmpl w:val="0BB8CCF0"/>
    <w:lvl w:ilvl="0" w:tplc="4AF04802">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1C4"/>
    <w:rsid w:val="000A1DC2"/>
    <w:rsid w:val="000B00DE"/>
    <w:rsid w:val="0029779E"/>
    <w:rsid w:val="005B3DFD"/>
    <w:rsid w:val="006C614C"/>
    <w:rsid w:val="00711D12"/>
    <w:rsid w:val="0091272C"/>
    <w:rsid w:val="00E101C4"/>
    <w:rsid w:val="00E26A32"/>
    <w:rsid w:val="00F261BA"/>
    <w:rsid w:val="00FE00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4E3E9"/>
  <w15:chartTrackingRefBased/>
  <w15:docId w15:val="{11E15183-6488-4CB2-9EC1-18878A71E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1BA"/>
    <w:pPr>
      <w:spacing w:after="0" w:line="240" w:lineRule="auto"/>
    </w:pPr>
    <w:rPr>
      <w:rFonts w:ascii="Calibri" w:hAnsi="Calibri" w:cs="Calibri"/>
    </w:rPr>
  </w:style>
  <w:style w:type="paragraph" w:styleId="Titre1">
    <w:name w:val="heading 1"/>
    <w:aliases w:val="h1"/>
    <w:basedOn w:val="Normal"/>
    <w:link w:val="Titre1Car"/>
    <w:uiPriority w:val="9"/>
    <w:qFormat/>
    <w:rsid w:val="00F261BA"/>
    <w:pPr>
      <w:keepNext/>
      <w:numPr>
        <w:numId w:val="1"/>
      </w:numPr>
      <w:spacing w:before="360" w:after="240"/>
      <w:outlineLvl w:val="0"/>
    </w:pPr>
    <w:rPr>
      <w:rFonts w:ascii="Times New Roman" w:hAnsi="Times New Roman" w:cs="Times New Roman"/>
      <w:sz w:val="24"/>
      <w:szCs w:val="24"/>
      <w:u w:val="single"/>
    </w:rPr>
  </w:style>
  <w:style w:type="paragraph" w:styleId="Titre2">
    <w:name w:val="heading 2"/>
    <w:aliases w:val="h2"/>
    <w:basedOn w:val="Normal"/>
    <w:link w:val="Titre2Car"/>
    <w:uiPriority w:val="9"/>
    <w:semiHidden/>
    <w:unhideWhenUsed/>
    <w:qFormat/>
    <w:rsid w:val="00F261BA"/>
    <w:pPr>
      <w:numPr>
        <w:ilvl w:val="1"/>
        <w:numId w:val="1"/>
      </w:numPr>
      <w:spacing w:after="240"/>
      <w:jc w:val="both"/>
      <w:outlineLvl w:val="1"/>
    </w:pPr>
    <w:rPr>
      <w:rFonts w:ascii="Times New Roman" w:hAnsi="Times New Roman" w:cs="Times New Roman"/>
      <w:sz w:val="24"/>
      <w:szCs w:val="24"/>
    </w:rPr>
  </w:style>
  <w:style w:type="paragraph" w:styleId="Titre3">
    <w:name w:val="heading 3"/>
    <w:aliases w:val="h3"/>
    <w:basedOn w:val="Normal"/>
    <w:link w:val="Titre3Car"/>
    <w:uiPriority w:val="9"/>
    <w:semiHidden/>
    <w:unhideWhenUsed/>
    <w:qFormat/>
    <w:rsid w:val="00F261BA"/>
    <w:pPr>
      <w:numPr>
        <w:ilvl w:val="2"/>
        <w:numId w:val="1"/>
      </w:numPr>
      <w:spacing w:after="240"/>
      <w:jc w:val="both"/>
      <w:outlineLvl w:val="2"/>
    </w:pPr>
    <w:rPr>
      <w:rFonts w:ascii="Times New Roman" w:hAnsi="Times New Roman" w:cs="Times New Roman"/>
      <w:sz w:val="24"/>
      <w:szCs w:val="24"/>
    </w:rPr>
  </w:style>
  <w:style w:type="paragraph" w:styleId="Titre4">
    <w:name w:val="heading 4"/>
    <w:aliases w:val="h4"/>
    <w:basedOn w:val="Normal"/>
    <w:link w:val="Titre4Car"/>
    <w:uiPriority w:val="9"/>
    <w:semiHidden/>
    <w:unhideWhenUsed/>
    <w:qFormat/>
    <w:rsid w:val="00F261BA"/>
    <w:pPr>
      <w:numPr>
        <w:ilvl w:val="3"/>
        <w:numId w:val="1"/>
      </w:numPr>
      <w:spacing w:before="240"/>
      <w:outlineLvl w:val="3"/>
    </w:pPr>
    <w:rPr>
      <w:rFonts w:ascii="Times New Roman" w:hAnsi="Times New Roman" w:cs="Times New Roman"/>
      <w:sz w:val="24"/>
      <w:szCs w:val="24"/>
    </w:rPr>
  </w:style>
  <w:style w:type="paragraph" w:styleId="Titre5">
    <w:name w:val="heading 5"/>
    <w:aliases w:val="h5"/>
    <w:basedOn w:val="Normal"/>
    <w:link w:val="Titre5Car"/>
    <w:uiPriority w:val="9"/>
    <w:semiHidden/>
    <w:unhideWhenUsed/>
    <w:qFormat/>
    <w:rsid w:val="00F261BA"/>
    <w:pPr>
      <w:numPr>
        <w:ilvl w:val="4"/>
        <w:numId w:val="1"/>
      </w:numPr>
      <w:spacing w:before="240"/>
      <w:outlineLvl w:val="4"/>
    </w:pPr>
    <w:rPr>
      <w:rFonts w:ascii="Times New Roman" w:hAnsi="Times New Roman" w:cs="Times New Roman"/>
      <w:sz w:val="24"/>
      <w:szCs w:val="24"/>
    </w:rPr>
  </w:style>
  <w:style w:type="paragraph" w:styleId="Titre6">
    <w:name w:val="heading 6"/>
    <w:aliases w:val="h6"/>
    <w:basedOn w:val="Normal"/>
    <w:link w:val="Titre6Car"/>
    <w:uiPriority w:val="9"/>
    <w:semiHidden/>
    <w:unhideWhenUsed/>
    <w:qFormat/>
    <w:rsid w:val="00F261BA"/>
    <w:pPr>
      <w:numPr>
        <w:ilvl w:val="5"/>
        <w:numId w:val="1"/>
      </w:numPr>
      <w:spacing w:before="240"/>
      <w:outlineLvl w:val="5"/>
    </w:pPr>
    <w:rPr>
      <w:rFonts w:ascii="Times New Roman" w:hAnsi="Times New Roman" w:cs="Times New Roman"/>
      <w:sz w:val="24"/>
      <w:szCs w:val="24"/>
    </w:rPr>
  </w:style>
  <w:style w:type="paragraph" w:styleId="Titre7">
    <w:name w:val="heading 7"/>
    <w:aliases w:val="h7"/>
    <w:basedOn w:val="Normal"/>
    <w:link w:val="Titre7Car"/>
    <w:uiPriority w:val="9"/>
    <w:semiHidden/>
    <w:unhideWhenUsed/>
    <w:qFormat/>
    <w:rsid w:val="00F261BA"/>
    <w:pPr>
      <w:numPr>
        <w:ilvl w:val="6"/>
        <w:numId w:val="1"/>
      </w:numPr>
      <w:spacing w:before="240"/>
      <w:outlineLvl w:val="6"/>
    </w:pPr>
    <w:rPr>
      <w:rFonts w:ascii="Times New Roman" w:hAnsi="Times New Roman" w:cs="Times New Roman"/>
      <w:sz w:val="24"/>
      <w:szCs w:val="24"/>
    </w:rPr>
  </w:style>
  <w:style w:type="paragraph" w:styleId="Titre8">
    <w:name w:val="heading 8"/>
    <w:aliases w:val="h8"/>
    <w:basedOn w:val="Normal"/>
    <w:link w:val="Titre8Car"/>
    <w:uiPriority w:val="9"/>
    <w:semiHidden/>
    <w:unhideWhenUsed/>
    <w:qFormat/>
    <w:rsid w:val="00F261BA"/>
    <w:pPr>
      <w:numPr>
        <w:ilvl w:val="7"/>
        <w:numId w:val="1"/>
      </w:numPr>
      <w:spacing w:before="240"/>
      <w:outlineLvl w:val="7"/>
    </w:pPr>
    <w:rPr>
      <w:rFonts w:ascii="Times New Roman" w:hAnsi="Times New Roman" w:cs="Times New Roman"/>
      <w:sz w:val="24"/>
      <w:szCs w:val="24"/>
    </w:rPr>
  </w:style>
  <w:style w:type="paragraph" w:styleId="Titre9">
    <w:name w:val="heading 9"/>
    <w:aliases w:val="h9"/>
    <w:basedOn w:val="Normal"/>
    <w:link w:val="Titre9Car"/>
    <w:uiPriority w:val="9"/>
    <w:semiHidden/>
    <w:unhideWhenUsed/>
    <w:qFormat/>
    <w:rsid w:val="00F261BA"/>
    <w:pPr>
      <w:numPr>
        <w:ilvl w:val="8"/>
        <w:numId w:val="1"/>
      </w:numPr>
      <w:spacing w:before="240"/>
      <w:outlineLvl w:val="8"/>
    </w:pPr>
    <w:rPr>
      <w:rFonts w:ascii="Times New Roman" w:hAnsi="Times New Roman" w:cs="Times New Roman"/>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basedOn w:val="Policepardfaut"/>
    <w:link w:val="Titre1"/>
    <w:uiPriority w:val="9"/>
    <w:rsid w:val="00F261BA"/>
    <w:rPr>
      <w:rFonts w:ascii="Times New Roman" w:hAnsi="Times New Roman" w:cs="Times New Roman"/>
      <w:sz w:val="24"/>
      <w:szCs w:val="24"/>
      <w:u w:val="single"/>
    </w:rPr>
  </w:style>
  <w:style w:type="character" w:customStyle="1" w:styleId="Titre2Car">
    <w:name w:val="Titre 2 Car"/>
    <w:aliases w:val="h2 Car"/>
    <w:basedOn w:val="Policepardfaut"/>
    <w:link w:val="Titre2"/>
    <w:uiPriority w:val="9"/>
    <w:semiHidden/>
    <w:rsid w:val="00F261BA"/>
    <w:rPr>
      <w:rFonts w:ascii="Times New Roman" w:hAnsi="Times New Roman" w:cs="Times New Roman"/>
      <w:sz w:val="24"/>
      <w:szCs w:val="24"/>
    </w:rPr>
  </w:style>
  <w:style w:type="character" w:customStyle="1" w:styleId="Titre3Car">
    <w:name w:val="Titre 3 Car"/>
    <w:aliases w:val="h3 Car"/>
    <w:basedOn w:val="Policepardfaut"/>
    <w:link w:val="Titre3"/>
    <w:uiPriority w:val="9"/>
    <w:semiHidden/>
    <w:rsid w:val="00F261BA"/>
    <w:rPr>
      <w:rFonts w:ascii="Times New Roman" w:hAnsi="Times New Roman" w:cs="Times New Roman"/>
      <w:sz w:val="24"/>
      <w:szCs w:val="24"/>
    </w:rPr>
  </w:style>
  <w:style w:type="character" w:customStyle="1" w:styleId="Titre4Car">
    <w:name w:val="Titre 4 Car"/>
    <w:aliases w:val="h4 Car"/>
    <w:basedOn w:val="Policepardfaut"/>
    <w:link w:val="Titre4"/>
    <w:uiPriority w:val="9"/>
    <w:semiHidden/>
    <w:rsid w:val="00F261BA"/>
    <w:rPr>
      <w:rFonts w:ascii="Times New Roman" w:hAnsi="Times New Roman" w:cs="Times New Roman"/>
      <w:sz w:val="24"/>
      <w:szCs w:val="24"/>
    </w:rPr>
  </w:style>
  <w:style w:type="character" w:customStyle="1" w:styleId="Titre5Car">
    <w:name w:val="Titre 5 Car"/>
    <w:aliases w:val="h5 Car"/>
    <w:basedOn w:val="Policepardfaut"/>
    <w:link w:val="Titre5"/>
    <w:uiPriority w:val="9"/>
    <w:semiHidden/>
    <w:rsid w:val="00F261BA"/>
    <w:rPr>
      <w:rFonts w:ascii="Times New Roman" w:hAnsi="Times New Roman" w:cs="Times New Roman"/>
      <w:sz w:val="24"/>
      <w:szCs w:val="24"/>
    </w:rPr>
  </w:style>
  <w:style w:type="character" w:customStyle="1" w:styleId="Titre6Car">
    <w:name w:val="Titre 6 Car"/>
    <w:aliases w:val="h6 Car"/>
    <w:basedOn w:val="Policepardfaut"/>
    <w:link w:val="Titre6"/>
    <w:uiPriority w:val="9"/>
    <w:semiHidden/>
    <w:rsid w:val="00F261BA"/>
    <w:rPr>
      <w:rFonts w:ascii="Times New Roman" w:hAnsi="Times New Roman" w:cs="Times New Roman"/>
      <w:sz w:val="24"/>
      <w:szCs w:val="24"/>
    </w:rPr>
  </w:style>
  <w:style w:type="character" w:customStyle="1" w:styleId="Titre7Car">
    <w:name w:val="Titre 7 Car"/>
    <w:aliases w:val="h7 Car"/>
    <w:basedOn w:val="Policepardfaut"/>
    <w:link w:val="Titre7"/>
    <w:uiPriority w:val="9"/>
    <w:semiHidden/>
    <w:rsid w:val="00F261BA"/>
    <w:rPr>
      <w:rFonts w:ascii="Times New Roman" w:hAnsi="Times New Roman" w:cs="Times New Roman"/>
      <w:sz w:val="24"/>
      <w:szCs w:val="24"/>
    </w:rPr>
  </w:style>
  <w:style w:type="character" w:customStyle="1" w:styleId="Titre8Car">
    <w:name w:val="Titre 8 Car"/>
    <w:aliases w:val="h8 Car"/>
    <w:basedOn w:val="Policepardfaut"/>
    <w:link w:val="Titre8"/>
    <w:uiPriority w:val="9"/>
    <w:semiHidden/>
    <w:rsid w:val="00F261BA"/>
    <w:rPr>
      <w:rFonts w:ascii="Times New Roman" w:hAnsi="Times New Roman" w:cs="Times New Roman"/>
      <w:sz w:val="24"/>
      <w:szCs w:val="24"/>
    </w:rPr>
  </w:style>
  <w:style w:type="character" w:customStyle="1" w:styleId="Titre9Car">
    <w:name w:val="Titre 9 Car"/>
    <w:aliases w:val="h9 Car"/>
    <w:basedOn w:val="Policepardfaut"/>
    <w:link w:val="Titre9"/>
    <w:uiPriority w:val="9"/>
    <w:semiHidden/>
    <w:rsid w:val="00F261BA"/>
    <w:rPr>
      <w:rFonts w:ascii="Times New Roman" w:hAnsi="Times New Roman" w:cs="Times New Roman"/>
      <w:sz w:val="24"/>
      <w:szCs w:val="24"/>
    </w:rPr>
  </w:style>
  <w:style w:type="paragraph" w:styleId="Corpsdetexte">
    <w:name w:val="Body Text"/>
    <w:basedOn w:val="Normal"/>
    <w:link w:val="CorpsdetexteCar"/>
    <w:uiPriority w:val="99"/>
    <w:unhideWhenUsed/>
    <w:rsid w:val="00F261BA"/>
    <w:pPr>
      <w:spacing w:after="120"/>
    </w:pPr>
  </w:style>
  <w:style w:type="character" w:customStyle="1" w:styleId="CorpsdetexteCar">
    <w:name w:val="Corps de texte Car"/>
    <w:basedOn w:val="Policepardfaut"/>
    <w:link w:val="Corpsdetexte"/>
    <w:uiPriority w:val="99"/>
    <w:rsid w:val="00F261BA"/>
    <w:rPr>
      <w:rFonts w:ascii="Calibri" w:hAnsi="Calibri" w:cs="Calibri"/>
    </w:rPr>
  </w:style>
  <w:style w:type="paragraph" w:styleId="Paragraphedeliste">
    <w:name w:val="List Paragraph"/>
    <w:basedOn w:val="Normal"/>
    <w:uiPriority w:val="34"/>
    <w:qFormat/>
    <w:rsid w:val="00F261BA"/>
    <w:pPr>
      <w:ind w:left="720"/>
    </w:pPr>
  </w:style>
  <w:style w:type="paragraph" w:customStyle="1" w:styleId="Index">
    <w:name w:val="Index"/>
    <w:basedOn w:val="Normal"/>
    <w:rsid w:val="00F261BA"/>
    <w:pPr>
      <w:snapToGrid w:val="0"/>
      <w:jc w:val="both"/>
    </w:pPr>
    <w:rPr>
      <w:rFonts w:ascii="Times New Roman" w:hAnsi="Times New Roman" w:cs="Times New Roman"/>
      <w:lang w:eastAsia="fr-FR"/>
    </w:rPr>
  </w:style>
  <w:style w:type="table" w:styleId="Grilledutableau">
    <w:name w:val="Table Grid"/>
    <w:basedOn w:val="TableauNormal"/>
    <w:uiPriority w:val="39"/>
    <w:rsid w:val="005B3DFD"/>
    <w:pPr>
      <w:spacing w:after="0" w:line="240" w:lineRule="auto"/>
    </w:pPr>
    <w:rPr>
      <w:rFonts w:eastAsiaTheme="minorEastAsia"/>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uiPriority w:val="99"/>
    <w:semiHidden/>
    <w:unhideWhenUsed/>
    <w:rsid w:val="006C614C"/>
    <w:pPr>
      <w:spacing w:after="120"/>
    </w:pPr>
    <w:rPr>
      <w:sz w:val="16"/>
      <w:szCs w:val="16"/>
    </w:rPr>
  </w:style>
  <w:style w:type="character" w:customStyle="1" w:styleId="Corpsdetexte3Car">
    <w:name w:val="Corps de texte 3 Car"/>
    <w:basedOn w:val="Policepardfaut"/>
    <w:link w:val="Corpsdetexte3"/>
    <w:uiPriority w:val="99"/>
    <w:semiHidden/>
    <w:rsid w:val="006C614C"/>
    <w:rPr>
      <w:rFonts w:ascii="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4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2264</Words>
  <Characters>12458</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SBALBI Elia</dc:creator>
  <cp:keywords/>
  <dc:description/>
  <cp:lastModifiedBy>DELPHIN Roxane</cp:lastModifiedBy>
  <cp:revision>2</cp:revision>
  <dcterms:created xsi:type="dcterms:W3CDTF">2026-06-11T10:02:00Z</dcterms:created>
  <dcterms:modified xsi:type="dcterms:W3CDTF">2026-06-11T10:02:00Z</dcterms:modified>
</cp:coreProperties>
</file>